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72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Proposal for BI-ISIG Task Force Funding</w:t>
        <w:br w:type="textWrapping"/>
      </w:r>
    </w:p>
    <w:p w:rsidR="00000000" w:rsidDel="00000000" w:rsidP="00000000" w:rsidRDefault="00000000" w:rsidRPr="00000000" w14:paraId="00000002">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This competitive grant opportunity seeks to fund high quality BI-ISIG Task Force projects led by BI-ISIG Task Force members. These projects are expected to have a meaningful impact in the field of brain injury rehabilitation.</w:t>
      </w:r>
    </w:p>
    <w:p w:rsidR="00000000" w:rsidDel="00000000" w:rsidP="00000000" w:rsidRDefault="00000000" w:rsidRPr="00000000" w14:paraId="00000003">
      <w:pPr>
        <w:rPr>
          <w:rFonts w:ascii="Times New Roman" w:cs="Times New Roman" w:eastAsia="Times New Roman" w:hAnsi="Times New Roman"/>
          <w:b w:val="1"/>
          <w:sz w:val="10"/>
          <w:szCs w:val="10"/>
        </w:rPr>
      </w:pP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b w:val="1"/>
          <w:rtl w:val="0"/>
        </w:rPr>
        <w:t xml:space="preserve">General Guidelines: </w:t>
      </w: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BI-ISIG budget can accommodate a total of $6,000 across funded proposals per year.  The maximum budget that can be requested for any one proposal is $6,000; however, the BI-ISIG Executive Committee may decide to award less than the requested budget, based on merit, budget justification, and the number of competing meritorious proposals submitted. There is no set number of awards to be funded per year. Awards will be decided by the BI-ISIG Executive Committee on the basis of efficient use of funds for maximum impact. Preference will be given to proposals that involve collaboration between two or more Task Forces.    </w:t>
      </w:r>
    </w:p>
    <w:p w:rsidR="00000000" w:rsidDel="00000000" w:rsidP="00000000" w:rsidRDefault="00000000" w:rsidRPr="00000000" w14:paraId="0000000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Task Force funding is to support BI-ISIG Task Force-initiated projects and must be led by BI-ISIG Task Force Members, in collaboration with other Task Force members. These awards are not for an individual and not meant to support work outside of ACRM (e.g., student dissertation projects).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Projects must include at least one Early Career member who will be active on the project.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The award will be made to the Task Force, not to any instiution, and should not be subjected to institutional indirect costs. </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Award spending can occur through an invoice or reimbursement model. Invoices for budgeted spending should be submitted to the ACRM Management at accounts-payable@acrm.org for payment. Alternatively, receipts for budgeted purchases should be submitted to the ACRM Management for reimbursement as soon as possible after the funds have been expended. </w:t>
      </w:r>
    </w:p>
    <w:p w:rsidR="00000000" w:rsidDel="00000000" w:rsidP="00000000" w:rsidRDefault="00000000" w:rsidRPr="00000000" w14:paraId="0000000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Award recipients will be required to submit bi-annual progress reports at 6- and 12-months post-funding. </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Award recipients will be required to complete their study (i.e., use study funds) in one year, with an option for a no-cost extension for a maximum of one additional year. Any unused funds will be reabsorbed by BI-ISIG.</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Projects using monetary support “from” ACRM  “and/or” created by ACRM Community Groups (ISIG and Networking Groups, task forces, committees) must refrain from using the funds to promote another organization. Priority for publication should be given to an ACRM Journal or venue.</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In no event should an ACRM Community Group contract or commit ACRM financially without the express written consent of ACRM Management.</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If this work results in publication, acknowledgment must be made to ACRM BI-ISIG Task Force Grant Funding. </w:t>
      </w:r>
    </w:p>
    <w:p w:rsidR="00000000" w:rsidDel="00000000" w:rsidP="00000000" w:rsidRDefault="00000000" w:rsidRPr="00000000" w14:paraId="0000001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rtl w:val="0"/>
        </w:rPr>
        <w:t xml:space="preserve">Please complete the items below and email the form to BI-ISIG Awards Officer, Dr. Tolu Oyesanya (tolu.oyesanya@duke.edu) by </w:t>
      </w:r>
      <w:r w:rsidDel="00000000" w:rsidR="00000000" w:rsidRPr="00000000">
        <w:rPr>
          <w:rFonts w:ascii="Times New Roman" w:cs="Times New Roman" w:eastAsia="Times New Roman" w:hAnsi="Times New Roman"/>
          <w:b w:val="1"/>
          <w:rtl w:val="0"/>
        </w:rPr>
        <w:t xml:space="preserve">June 14, 2024.</w:t>
      </w:r>
      <w:r w:rsidDel="00000000" w:rsidR="00000000" w:rsidRPr="00000000">
        <w:rPr>
          <w:rFonts w:ascii="Times New Roman" w:cs="Times New Roman" w:eastAsia="Times New Roman" w:hAnsi="Times New Roman"/>
          <w:rtl w:val="0"/>
        </w:rPr>
        <w:t xml:space="preserve">  Application questions should be emailed to Dr. Tolu Oyesanya (tolu.oyesanya@duke.edu).</w:t>
      </w: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Today’s Date: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Title of Proposed Project: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1E">
      <w:pPr>
        <w:rPr>
          <w:rFonts w:ascii="Times New Roman" w:cs="Times New Roman" w:eastAsia="Times New Roman" w:hAnsi="Times New Roman"/>
          <w:b w:val="1"/>
          <w:sz w:val="10"/>
          <w:szCs w:val="10"/>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Task Force(s) Proposing Project: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20">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Lead Member Name and Email Address: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21">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Early Career Member: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22">
      <w:pPr>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Other Participating Members: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b w:val="1"/>
          <w:sz w:val="10"/>
          <w:szCs w:val="10"/>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If more than one Task Force is involved, provide that information here: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ab/>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Guidelines for Funds Requested: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the Table below, please list the 1) type of expense; 2) detailed breakdown of funds AND justification for funds requested; and 3) amount of funding.  Requests without proper justification will not be granted.  Examples of allowable uses of funds include but are not limited to:</w:t>
      </w:r>
    </w:p>
    <w:p w:rsidR="00000000" w:rsidDel="00000000" w:rsidP="00000000" w:rsidRDefault="00000000" w:rsidRPr="00000000" w14:paraId="0000002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Fees for outside consultants (e.g., consumers, statisticians, librarians)</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IRB fees required for research projects</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Open access journal fees</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Software for systematic reviews</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Video/ webinar expenses</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Product design / marketing services that are not available through ACRM</w:t>
      </w:r>
      <w:r w:rsidDel="00000000" w:rsidR="00000000" w:rsidRPr="00000000">
        <w:rPr>
          <w:rtl w:val="0"/>
        </w:rPr>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Travel expenses may be considered if they are well-justified and specifically related to the task force project</w:t>
      </w:r>
    </w:p>
    <w:p w:rsidR="00000000" w:rsidDel="00000000" w:rsidP="00000000" w:rsidRDefault="00000000" w:rsidRPr="00000000" w14:paraId="0000002E">
      <w:pP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These are just examples; other types of expenses may be proposed and will be considered by the BI-ISIG Executive Committee. </w:t>
      </w:r>
    </w:p>
    <w:p w:rsidR="00000000" w:rsidDel="00000000" w:rsidP="00000000" w:rsidRDefault="00000000" w:rsidRPr="00000000" w14:paraId="0000002F">
      <w:pP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b w:val="1"/>
          <w:u w:val="single"/>
        </w:rPr>
      </w:pPr>
      <w:r w:rsidDel="00000000" w:rsidR="00000000" w:rsidRPr="00000000">
        <w:rPr>
          <w:rFonts w:ascii="Times New Roman" w:cs="Times New Roman" w:eastAsia="Times New Roman" w:hAnsi="Times New Roman"/>
          <w:b w:val="1"/>
          <w:u w:val="single"/>
          <w:rtl w:val="0"/>
        </w:rPr>
        <w:t xml:space="preserve">Budget Guidelines</w:t>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Travel Expenses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Travel expenses may be considered if they are well-justified and specifically related to the Task Force project. </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Travel expenses will only be allowed if they are justified as necessary for work related to the Task Force project that cannot be accomplished via remote collaboration. Travel funds cannot be requested to attend an ACRM meeting unless there will be a working meeting for the project during the ACRM meeting </w:t>
      </w:r>
      <w:r w:rsidDel="00000000" w:rsidR="00000000" w:rsidRPr="00000000">
        <w:rPr>
          <w:rFonts w:ascii="Times New Roman" w:cs="Times New Roman" w:eastAsia="Times New Roman" w:hAnsi="Times New Roman"/>
          <w:b w:val="0"/>
          <w:i w:val="1"/>
          <w:smallCaps w:val="0"/>
          <w:strike w:val="0"/>
          <w:color w:val="000000"/>
          <w:sz w:val="22"/>
          <w:szCs w:val="22"/>
          <w:u w:val="single"/>
          <w:shd w:fill="auto" w:val="clear"/>
          <w:vertAlign w:val="baseline"/>
          <w:rtl w:val="0"/>
        </w:rPr>
        <w:t xml:space="preserve">and</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 work cannot reasonably occur outside of the ACRM meeting. Recipients of the BI-ISIG Travel Scholarship will not be eligible for travel support under this mechanism during the same award year. </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Investigator Effort</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Reimbursement for time/ effort of ACRM members is </w:t>
      </w: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not</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an allowable expense</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Consultation/Personnel</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If funds are being budgeted for outside consultants / personnel services, the personnel services being requested should predominantly be for expertise that cannot be found within ACRM membership.  However, with proper justification and rationale, there may be some exceptions to this rule. If budgeting for an outside consultant who will provide expertise / services that is already available within the scope or capacity of our existing Membership, you must justify why you need to go outside of the BI-ISIG membership for these services. </w:t>
      </w:r>
      <w:r w:rsidDel="00000000" w:rsidR="00000000" w:rsidRPr="00000000">
        <w:rPr>
          <w:rtl w:val="0"/>
        </w:rPr>
      </w:r>
    </w:p>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Students/Trainees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Funding for students or trainees may be considered as long as there is strong justification and rationale provided to support the need / requirement for their paid service. If your institution requires students/ trainees are paid for their services, documentation of this requirement must be provided. If budgeting for personnel services, include hourly fee and number of anticipated hours for services. </w:t>
      </w: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Open Access Journal Fees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If budgeting for open access journal fees, the Task Force must plan their timeline accordingly so that article processing charges are expensed within the award period. With proof that the manuscript is already under review for publication at the end of the award period, the open access journal fees can be paid up to 12 months after the award period has ended. </w:t>
      </w:r>
      <w:r w:rsidDel="00000000" w:rsidR="00000000" w:rsidRPr="00000000">
        <w:rPr>
          <w:rtl w:val="0"/>
        </w:rPr>
      </w:r>
    </w:p>
    <w:p w:rsidR="00000000" w:rsidDel="00000000" w:rsidP="00000000" w:rsidRDefault="00000000" w:rsidRPr="00000000" w14:paraId="0000003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Institutional Indirect Costs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 budget must not be subjected to institutional indirect costs. </w:t>
      </w:r>
      <w:r w:rsidDel="00000000" w:rsidR="00000000" w:rsidRPr="00000000">
        <w:rPr>
          <w:rtl w:val="0"/>
        </w:rPr>
      </w:r>
    </w:p>
    <w:p w:rsidR="00000000" w:rsidDel="00000000" w:rsidP="00000000" w:rsidRDefault="00000000" w:rsidRPr="00000000" w14:paraId="0000003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Software subscription services</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 The award will cover a one-year subscription. The subscription costs can be paid directly or reimbursed to a task force member, but the subscription must be in the name of the task force member and not ACRM. ACRM cannot be the subscriber or party to that contract.</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rtl w:val="0"/>
        </w:rPr>
        <w:t xml:space="preserve">Add rows to the Table as needed. </w:t>
      </w: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rPr>
      </w:pPr>
      <w:r w:rsidDel="00000000" w:rsidR="00000000" w:rsidRPr="00000000">
        <w:rPr>
          <w:rtl w:val="0"/>
        </w:rPr>
      </w:r>
    </w:p>
    <w:tbl>
      <w:tblPr>
        <w:tblStyle w:val="Table1"/>
        <w:tblW w:w="1079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45"/>
        <w:gridCol w:w="6930"/>
        <w:gridCol w:w="1615"/>
        <w:tblGridChange w:id="0">
          <w:tblGrid>
            <w:gridCol w:w="2245"/>
            <w:gridCol w:w="6930"/>
            <w:gridCol w:w="1615"/>
          </w:tblGrid>
        </w:tblGridChange>
      </w:tblGrid>
      <w:tr>
        <w:trPr>
          <w:cantSplit w:val="0"/>
          <w:tblHeader w:val="0"/>
        </w:trPr>
        <w:tc>
          <w:tcPr>
            <w:gridSpan w:val="3"/>
            <w:shd w:fill="d0cece" w:val="clear"/>
          </w:tcPr>
          <w:p w:rsidR="00000000" w:rsidDel="00000000" w:rsidP="00000000" w:rsidRDefault="00000000" w:rsidRPr="00000000" w14:paraId="0000003C">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BUDGET</w:t>
            </w:r>
          </w:p>
        </w:tc>
      </w:tr>
      <w:tr>
        <w:trPr>
          <w:cantSplit w:val="0"/>
          <w:tblHeader w:val="0"/>
        </w:trPr>
        <w:tc>
          <w:tcPr/>
          <w:p w:rsidR="00000000" w:rsidDel="00000000" w:rsidP="00000000" w:rsidRDefault="00000000" w:rsidRPr="00000000" w14:paraId="0000003F">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50" w:right="0" w:hanging="360"/>
              <w:jc w:val="center"/>
              <w:rPr>
                <w:rFonts w:ascii="Times New Roman" w:cs="Times New Roman" w:eastAsia="Times New Roman" w:hAnsi="Times New Roman"/>
                <w:b w:val="1"/>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Expense Type</w:t>
            </w:r>
          </w:p>
        </w:tc>
        <w:tc>
          <w:tcPr/>
          <w:p w:rsidR="00000000" w:rsidDel="00000000" w:rsidP="00000000" w:rsidRDefault="00000000" w:rsidRPr="00000000" w14:paraId="0000004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50" w:right="0" w:hanging="360"/>
              <w:jc w:val="center"/>
              <w:rPr>
                <w:rFonts w:ascii="Times New Roman" w:cs="Times New Roman" w:eastAsia="Times New Roman" w:hAnsi="Times New Roman"/>
                <w:b w:val="1"/>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Detail AND Justification for requested funds</w:t>
            </w:r>
          </w:p>
        </w:tc>
        <w:tc>
          <w:tcPr/>
          <w:p w:rsidR="00000000" w:rsidDel="00000000" w:rsidP="00000000" w:rsidRDefault="00000000" w:rsidRPr="00000000" w14:paraId="0000004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450" w:right="0" w:hanging="360"/>
              <w:jc w:val="center"/>
              <w:rPr>
                <w:rFonts w:ascii="Times New Roman" w:cs="Times New Roman" w:eastAsia="Times New Roman" w:hAnsi="Times New Roman"/>
                <w:b w:val="1"/>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8"/>
                <w:szCs w:val="18"/>
                <w:u w:val="none"/>
                <w:shd w:fill="auto" w:val="clear"/>
                <w:vertAlign w:val="baseline"/>
                <w:rtl w:val="0"/>
              </w:rPr>
              <w:t xml:space="preserve">Total</w:t>
            </w:r>
          </w:p>
        </w:tc>
      </w:tr>
      <w:tr>
        <w:trPr>
          <w:cantSplit w:val="0"/>
          <w:trHeight w:val="359" w:hRule="atLeast"/>
          <w:tblHeader w:val="0"/>
        </w:trPr>
        <w:tc>
          <w:tcPr/>
          <w:p w:rsidR="00000000" w:rsidDel="00000000" w:rsidP="00000000" w:rsidRDefault="00000000" w:rsidRPr="00000000" w14:paraId="00000042">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44">
            <w:pPr>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45">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t>
            </w:r>
          </w:p>
        </w:tc>
      </w:tr>
      <w:tr>
        <w:trPr>
          <w:cantSplit w:val="0"/>
          <w:tblHeader w:val="0"/>
        </w:trPr>
        <w:tc>
          <w:tcPr/>
          <w:p w:rsidR="00000000" w:rsidDel="00000000" w:rsidP="00000000" w:rsidRDefault="00000000" w:rsidRPr="00000000" w14:paraId="00000046">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7">
            <w:pPr>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48">
            <w:pPr>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49">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t>
            </w:r>
          </w:p>
        </w:tc>
      </w:tr>
      <w:tr>
        <w:trPr>
          <w:cantSplit w:val="0"/>
          <w:tblHeader w:val="0"/>
        </w:trPr>
        <w:tc>
          <w:tcPr/>
          <w:p w:rsidR="00000000" w:rsidDel="00000000" w:rsidP="00000000" w:rsidRDefault="00000000" w:rsidRPr="00000000" w14:paraId="0000004A">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B">
            <w:pPr>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4C">
            <w:pPr>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4D">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t>
            </w:r>
          </w:p>
        </w:tc>
      </w:tr>
      <w:tr>
        <w:trPr>
          <w:cantSplit w:val="0"/>
          <w:tblHeader w:val="0"/>
        </w:trPr>
        <w:tc>
          <w:tcPr/>
          <w:p w:rsidR="00000000" w:rsidDel="00000000" w:rsidP="00000000" w:rsidRDefault="00000000" w:rsidRPr="00000000" w14:paraId="0000004E">
            <w:pPr>
              <w:rPr>
                <w:rFonts w:ascii="Times New Roman" w:cs="Times New Roman" w:eastAsia="Times New Roman" w:hAnsi="Times New Roman"/>
                <w:sz w:val="18"/>
                <w:szCs w:val="18"/>
              </w:rPr>
            </w:pPr>
            <w:r w:rsidDel="00000000" w:rsidR="00000000" w:rsidRPr="00000000">
              <w:rPr>
                <w:rtl w:val="0"/>
              </w:rPr>
            </w:r>
          </w:p>
          <w:p w:rsidR="00000000" w:rsidDel="00000000" w:rsidP="00000000" w:rsidRDefault="00000000" w:rsidRPr="00000000" w14:paraId="0000004F">
            <w:pPr>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50">
            <w:pPr>
              <w:rPr>
                <w:rFonts w:ascii="Times New Roman" w:cs="Times New Roman" w:eastAsia="Times New Roman" w:hAnsi="Times New Roman"/>
                <w:sz w:val="18"/>
                <w:szCs w:val="18"/>
              </w:rPr>
            </w:pPr>
            <w:r w:rsidDel="00000000" w:rsidR="00000000" w:rsidRPr="00000000">
              <w:rPr>
                <w:rtl w:val="0"/>
              </w:rPr>
            </w:r>
          </w:p>
        </w:tc>
        <w:tc>
          <w:tcPr/>
          <w:p w:rsidR="00000000" w:rsidDel="00000000" w:rsidP="00000000" w:rsidRDefault="00000000" w:rsidRPr="00000000" w14:paraId="00000051">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w:t>
            </w:r>
          </w:p>
        </w:tc>
      </w:tr>
    </w:tbl>
    <w:p w:rsidR="00000000" w:rsidDel="00000000" w:rsidP="00000000" w:rsidRDefault="00000000" w:rsidRPr="00000000" w14:paraId="00000052">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b w:val="1"/>
          <w:sz w:val="24"/>
          <w:szCs w:val="24"/>
          <w:u w:val="single"/>
          <w:rtl w:val="0"/>
        </w:rPr>
        <w:t xml:space="preserve">Total Funds Requested</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rtl w:val="0"/>
        </w:rPr>
        <w:t xml:space="preserve">    $ </w:t>
      </w: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br w:type="page"/>
      </w:r>
      <w:r w:rsidDel="00000000" w:rsidR="00000000" w:rsidRPr="00000000">
        <w:rPr>
          <w:rFonts w:ascii="Times New Roman" w:cs="Times New Roman" w:eastAsia="Times New Roman" w:hAnsi="Times New Roman"/>
          <w:b w:val="1"/>
          <w:sz w:val="24"/>
          <w:szCs w:val="24"/>
          <w:rtl w:val="0"/>
        </w:rPr>
        <w:t xml:space="preserve">Overview of Project: </w:t>
      </w:r>
      <w:r w:rsidDel="00000000" w:rsidR="00000000" w:rsidRPr="00000000">
        <w:rPr>
          <w:rFonts w:ascii="Times New Roman" w:cs="Times New Roman" w:eastAsia="Times New Roman" w:hAnsi="Times New Roman"/>
          <w:sz w:val="24"/>
          <w:szCs w:val="24"/>
          <w:rtl w:val="0"/>
        </w:rPr>
        <w:t xml:space="preserve">In 1-2 paragraphs below, describe the proposed project. Include the goals of the project and what has been accomplished to date. Explain why the requested funds are needed to complete or enhance the project.</w:t>
      </w:r>
    </w:p>
    <w:p w:rsidR="00000000" w:rsidDel="00000000" w:rsidP="00000000" w:rsidRDefault="00000000" w:rsidRPr="00000000" w14:paraId="00000054">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Fonts w:ascii="Times New Roman" w:cs="Times New Roman" w:eastAsia="Times New Roman" w:hAnsi="Times New Roman"/>
          <w:b w:val="1"/>
          <w:sz w:val="24"/>
          <w:szCs w:val="24"/>
          <w:rtl w:val="0"/>
        </w:rPr>
        <w:tab/>
      </w:r>
    </w:p>
    <w:p w:rsidR="00000000" w:rsidDel="00000000" w:rsidP="00000000" w:rsidRDefault="00000000" w:rsidRPr="00000000" w14:paraId="00000055">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6">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Methodology: </w:t>
      </w:r>
      <w:r w:rsidDel="00000000" w:rsidR="00000000" w:rsidRPr="00000000">
        <w:rPr>
          <w:rFonts w:ascii="Times New Roman" w:cs="Times New Roman" w:eastAsia="Times New Roman" w:hAnsi="Times New Roman"/>
          <w:sz w:val="24"/>
          <w:szCs w:val="24"/>
          <w:rtl w:val="0"/>
        </w:rPr>
        <w:t xml:space="preserve">Explain details of methods for how you plan to accomplish the goals of the project. </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57">
      <w:pPr>
        <w:rPr>
          <w:rFonts w:ascii="Times New Roman" w:cs="Times New Roman" w:eastAsia="Times New Roman" w:hAnsi="Times New Roman"/>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58">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Planned Outcome(s)/ Impact: </w:t>
      </w:r>
      <w:r w:rsidDel="00000000" w:rsidR="00000000" w:rsidRPr="00000000">
        <w:rPr>
          <w:rFonts w:ascii="Times New Roman" w:cs="Times New Roman" w:eastAsia="Times New Roman" w:hAnsi="Times New Roman"/>
          <w:sz w:val="24"/>
          <w:szCs w:val="24"/>
          <w:rtl w:val="0"/>
        </w:rPr>
        <w:t xml:space="preserve">In a few sentences below, describe what outcomes will be achieved when the project is completed, and the significance of achieving these outcomes.  In other words, explain what problem or gap this project is addressing and the potential impact it will have in the field of brain injury.</w:t>
      </w:r>
    </w:p>
    <w:p w:rsidR="00000000" w:rsidDel="00000000" w:rsidP="00000000" w:rsidRDefault="00000000" w:rsidRPr="00000000" w14:paraId="0000005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5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Dissemination Products: </w:t>
      </w:r>
      <w:r w:rsidDel="00000000" w:rsidR="00000000" w:rsidRPr="00000000">
        <w:rPr>
          <w:rFonts w:ascii="Times New Roman" w:cs="Times New Roman" w:eastAsia="Times New Roman" w:hAnsi="Times New Roman"/>
          <w:sz w:val="24"/>
          <w:szCs w:val="24"/>
          <w:rtl w:val="0"/>
        </w:rPr>
        <w:t xml:space="preserve">Please describe any planned dissemination products that you anticipate resulting from the project, as well as any dissemination plan (e.g., publication, fact sheets, IEPs, website postings, partnerships with other organizations, etc.).</w:t>
      </w:r>
    </w:p>
    <w:p w:rsidR="00000000" w:rsidDel="00000000" w:rsidP="00000000" w:rsidRDefault="00000000" w:rsidRPr="00000000" w14:paraId="0000005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5E">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Timeline:</w:t>
      </w:r>
      <w:r w:rsidDel="00000000" w:rsidR="00000000" w:rsidRPr="00000000">
        <w:rPr>
          <w:rFonts w:ascii="Times New Roman" w:cs="Times New Roman" w:eastAsia="Times New Roman" w:hAnsi="Times New Roman"/>
          <w:sz w:val="24"/>
          <w:szCs w:val="24"/>
          <w:rtl w:val="0"/>
        </w:rPr>
        <w:t xml:space="preserve"> If the funding is provided, when (month and year) do you estimate the planned outcome(s) will be achieved? If open acess journal fees are budgeted, please indicate within your timeline when you plan to have a completed draft of the manuscript and when you intend to submit your manuscript for publication. Funds are to be expended within one calendar year from the date of award, unless a one-year maximum no-cost extension is granted. </w:t>
      </w:r>
    </w:p>
    <w:p w:rsidR="00000000" w:rsidDel="00000000" w:rsidP="00000000" w:rsidRDefault="00000000" w:rsidRPr="00000000" w14:paraId="0000006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p w:rsidR="00000000" w:rsidDel="00000000" w:rsidP="00000000" w:rsidRDefault="00000000" w:rsidRPr="00000000" w14:paraId="00000061">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2">
      <w:pPr>
        <w:rPr>
          <w:rFonts w:ascii="Times New Roman" w:cs="Times New Roman" w:eastAsia="Times New Roman" w:hAnsi="Times New Roman"/>
        </w:rPr>
      </w:pPr>
      <w:r w:rsidDel="00000000" w:rsidR="00000000" w:rsidRPr="00000000">
        <w:rPr>
          <w:rFonts w:ascii="Times New Roman" w:cs="Times New Roman" w:eastAsia="Times New Roman" w:hAnsi="Times New Roman"/>
          <w:i w:val="1"/>
          <w:rtl w:val="0"/>
        </w:rPr>
        <w:t xml:space="preserve">*If this work results in publication, acknowledgment must be made to ACRM BI-ISIG Task Force Grant Funding. </w:t>
      </w:r>
      <w:r w:rsidDel="00000000" w:rsidR="00000000" w:rsidRPr="00000000">
        <w:rPr>
          <w:rtl w:val="0"/>
        </w:rPr>
      </w:r>
    </w:p>
    <w:sectPr>
      <w:headerReference r:id="rId6" w:type="default"/>
      <w:footerReference r:id="rId7"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Version date: 04/26/24</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450" w:hanging="360"/>
      </w:pPr>
      <w:rPr/>
    </w:lvl>
    <w:lvl w:ilvl="1">
      <w:start w:val="1"/>
      <w:numFmt w:val="lowerLetter"/>
      <w:lvlText w:val="%2."/>
      <w:lvlJc w:val="left"/>
      <w:pPr>
        <w:ind w:left="1170" w:hanging="360"/>
      </w:pPr>
      <w:rPr/>
    </w:lvl>
    <w:lvl w:ilvl="2">
      <w:start w:val="1"/>
      <w:numFmt w:val="lowerRoman"/>
      <w:lvlText w:val="%3."/>
      <w:lvlJc w:val="right"/>
      <w:pPr>
        <w:ind w:left="1890" w:hanging="180"/>
      </w:pPr>
      <w:rPr/>
    </w:lvl>
    <w:lvl w:ilvl="3">
      <w:start w:val="1"/>
      <w:numFmt w:val="decimal"/>
      <w:lvlText w:val="%4."/>
      <w:lvlJc w:val="left"/>
      <w:pPr>
        <w:ind w:left="2610" w:hanging="360"/>
      </w:pPr>
      <w:rPr/>
    </w:lvl>
    <w:lvl w:ilvl="4">
      <w:start w:val="1"/>
      <w:numFmt w:val="lowerLetter"/>
      <w:lvlText w:val="%5."/>
      <w:lvlJc w:val="left"/>
      <w:pPr>
        <w:ind w:left="3330" w:hanging="360"/>
      </w:pPr>
      <w:rPr/>
    </w:lvl>
    <w:lvl w:ilvl="5">
      <w:start w:val="1"/>
      <w:numFmt w:val="lowerRoman"/>
      <w:lvlText w:val="%6."/>
      <w:lvlJc w:val="right"/>
      <w:pPr>
        <w:ind w:left="4050" w:hanging="180"/>
      </w:pPr>
      <w:rPr/>
    </w:lvl>
    <w:lvl w:ilvl="6">
      <w:start w:val="1"/>
      <w:numFmt w:val="decimal"/>
      <w:lvlText w:val="%7."/>
      <w:lvlJc w:val="left"/>
      <w:pPr>
        <w:ind w:left="4770" w:hanging="360"/>
      </w:pPr>
      <w:rPr/>
    </w:lvl>
    <w:lvl w:ilvl="7">
      <w:start w:val="1"/>
      <w:numFmt w:val="lowerLetter"/>
      <w:lvlText w:val="%8."/>
      <w:lvlJc w:val="left"/>
      <w:pPr>
        <w:ind w:left="5490" w:hanging="360"/>
      </w:pPr>
      <w:rPr/>
    </w:lvl>
    <w:lvl w:ilvl="8">
      <w:start w:val="1"/>
      <w:numFmt w:val="lowerRoman"/>
      <w:lvlText w:val="%9."/>
      <w:lvlJc w:val="right"/>
      <w:pPr>
        <w:ind w:left="621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