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1CC8" w:rsidRPr="0074181B" w:rsidRDefault="00E01CC8" w:rsidP="00E01CC8">
      <w:pPr>
        <w:shd w:val="clear" w:color="auto" w:fill="000000"/>
        <w:spacing w:line="390" w:lineRule="atLeast"/>
        <w:jc w:val="center"/>
        <w:outlineLvl w:val="0"/>
        <w:rPr>
          <w:rFonts w:eastAsia="Times New Roman" w:cs="Times New Roman"/>
          <w:kern w:val="36"/>
          <w:szCs w:val="24"/>
          <w:lang w:val="es-MX"/>
        </w:rPr>
      </w:pPr>
      <w:r w:rsidRPr="0074181B">
        <w:rPr>
          <w:rFonts w:eastAsia="Times New Roman" w:cs="Times New Roman"/>
          <w:kern w:val="36"/>
          <w:szCs w:val="24"/>
          <w:lang w:val="es-MX"/>
        </w:rPr>
        <w:t>M E M O R A N D U M</w:t>
      </w:r>
    </w:p>
    <w:p w:rsidR="00E01CC8" w:rsidRDefault="00E01CC8" w:rsidP="00E01CC8">
      <w:pPr>
        <w:tabs>
          <w:tab w:val="left" w:pos="1080"/>
        </w:tabs>
        <w:jc w:val="both"/>
        <w:rPr>
          <w:rFonts w:eastAsia="Calibri" w:cs="Times New Roman"/>
          <w:b/>
          <w:szCs w:val="24"/>
        </w:rPr>
      </w:pPr>
    </w:p>
    <w:p w:rsidR="00E01CC8" w:rsidRPr="009A2D3C" w:rsidRDefault="00E01CC8" w:rsidP="00E01CC8">
      <w:pPr>
        <w:tabs>
          <w:tab w:val="left" w:pos="1080"/>
        </w:tabs>
        <w:ind w:right="18"/>
        <w:jc w:val="both"/>
        <w:rPr>
          <w:rFonts w:eastAsia="Calibri" w:cs="Times New Roman"/>
          <w:b/>
          <w:szCs w:val="24"/>
        </w:rPr>
      </w:pPr>
      <w:r w:rsidRPr="009A2D3C">
        <w:rPr>
          <w:rFonts w:eastAsia="Calibri" w:cs="Times New Roman"/>
          <w:b/>
          <w:szCs w:val="24"/>
        </w:rPr>
        <w:t>To:</w:t>
      </w:r>
      <w:r w:rsidRPr="009A2D3C">
        <w:rPr>
          <w:rFonts w:eastAsia="Calibri" w:cs="Times New Roman"/>
          <w:b/>
          <w:szCs w:val="24"/>
        </w:rPr>
        <w:tab/>
      </w:r>
      <w:r w:rsidR="00A428BA">
        <w:rPr>
          <w:rFonts w:eastAsia="Calibri" w:cs="Times New Roman"/>
          <w:b/>
          <w:szCs w:val="24"/>
        </w:rPr>
        <w:t>ACRM</w:t>
      </w:r>
    </w:p>
    <w:p w:rsidR="00E01CC8" w:rsidRPr="009A2D3C" w:rsidRDefault="00E01CC8" w:rsidP="00E01CC8">
      <w:pPr>
        <w:tabs>
          <w:tab w:val="left" w:pos="1080"/>
        </w:tabs>
        <w:ind w:right="18"/>
        <w:jc w:val="both"/>
        <w:rPr>
          <w:rFonts w:eastAsia="Calibri" w:cs="Times New Roman"/>
          <w:szCs w:val="24"/>
        </w:rPr>
      </w:pPr>
    </w:p>
    <w:p w:rsidR="00E01CC8" w:rsidRPr="009A2D3C" w:rsidRDefault="00E01CC8" w:rsidP="00E01CC8">
      <w:pPr>
        <w:tabs>
          <w:tab w:val="left" w:pos="1080"/>
        </w:tabs>
        <w:ind w:right="18"/>
        <w:jc w:val="both"/>
        <w:rPr>
          <w:rFonts w:eastAsia="Calibri" w:cs="Times New Roman"/>
          <w:b/>
          <w:szCs w:val="24"/>
        </w:rPr>
      </w:pPr>
      <w:r>
        <w:rPr>
          <w:rFonts w:eastAsia="Calibri" w:cs="Times New Roman"/>
          <w:b/>
          <w:szCs w:val="24"/>
        </w:rPr>
        <w:t>From:</w:t>
      </w:r>
      <w:r>
        <w:rPr>
          <w:rFonts w:eastAsia="Calibri" w:cs="Times New Roman"/>
          <w:b/>
          <w:szCs w:val="24"/>
        </w:rPr>
        <w:tab/>
        <w:t>Peter Thomas and Leela Baggett</w:t>
      </w:r>
    </w:p>
    <w:p w:rsidR="00E01CC8" w:rsidRPr="009A2D3C" w:rsidRDefault="00E01CC8" w:rsidP="00E01CC8">
      <w:pPr>
        <w:tabs>
          <w:tab w:val="left" w:pos="1080"/>
        </w:tabs>
        <w:ind w:right="18"/>
        <w:jc w:val="both"/>
        <w:rPr>
          <w:rFonts w:eastAsia="Calibri" w:cs="Times New Roman"/>
          <w:szCs w:val="24"/>
        </w:rPr>
      </w:pPr>
    </w:p>
    <w:p w:rsidR="00E01CC8" w:rsidRPr="009A2D3C" w:rsidRDefault="00E01CC8" w:rsidP="00E01CC8">
      <w:pPr>
        <w:tabs>
          <w:tab w:val="left" w:pos="1080"/>
        </w:tabs>
        <w:ind w:right="18"/>
        <w:jc w:val="both"/>
        <w:rPr>
          <w:rFonts w:eastAsia="Calibri" w:cs="Times New Roman"/>
          <w:szCs w:val="24"/>
        </w:rPr>
      </w:pPr>
      <w:r w:rsidRPr="009A2D3C">
        <w:rPr>
          <w:rFonts w:eastAsia="Calibri" w:cs="Times New Roman"/>
          <w:b/>
          <w:szCs w:val="24"/>
        </w:rPr>
        <w:t>Date:</w:t>
      </w:r>
      <w:r w:rsidRPr="009A2D3C">
        <w:rPr>
          <w:rFonts w:eastAsia="Calibri" w:cs="Times New Roman"/>
          <w:b/>
          <w:szCs w:val="24"/>
        </w:rPr>
        <w:tab/>
      </w:r>
      <w:r>
        <w:rPr>
          <w:rFonts w:eastAsia="Calibri" w:cs="Times New Roman"/>
          <w:b/>
          <w:szCs w:val="24"/>
        </w:rPr>
        <w:t xml:space="preserve">July </w:t>
      </w:r>
      <w:r w:rsidR="000B1676">
        <w:rPr>
          <w:rFonts w:eastAsia="Calibri" w:cs="Times New Roman"/>
          <w:b/>
          <w:szCs w:val="24"/>
        </w:rPr>
        <w:t>2</w:t>
      </w:r>
      <w:r>
        <w:rPr>
          <w:rFonts w:eastAsia="Calibri" w:cs="Times New Roman"/>
          <w:b/>
          <w:szCs w:val="24"/>
        </w:rPr>
        <w:t>, 2019</w:t>
      </w:r>
    </w:p>
    <w:p w:rsidR="00E01CC8" w:rsidRPr="009A2D3C" w:rsidRDefault="00E01CC8" w:rsidP="00E01CC8">
      <w:pPr>
        <w:tabs>
          <w:tab w:val="left" w:pos="1080"/>
        </w:tabs>
        <w:ind w:right="18"/>
        <w:jc w:val="both"/>
        <w:rPr>
          <w:rFonts w:eastAsia="Calibri" w:cs="Times New Roman"/>
          <w:szCs w:val="24"/>
        </w:rPr>
      </w:pPr>
    </w:p>
    <w:p w:rsidR="00E01CC8" w:rsidRPr="009333F6" w:rsidRDefault="00E01CC8" w:rsidP="00E01CC8">
      <w:pPr>
        <w:tabs>
          <w:tab w:val="left" w:pos="1080"/>
        </w:tabs>
        <w:ind w:left="1080" w:right="18" w:hanging="1080"/>
        <w:rPr>
          <w:rFonts w:eastAsia="Calibri" w:cs="Times New Roman"/>
          <w:b/>
          <w:szCs w:val="24"/>
        </w:rPr>
      </w:pPr>
      <w:r w:rsidRPr="009333F6">
        <w:rPr>
          <w:rFonts w:eastAsia="Calibri" w:cs="Times New Roman"/>
          <w:b/>
          <w:szCs w:val="24"/>
        </w:rPr>
        <w:t>Re:</w:t>
      </w:r>
      <w:r w:rsidRPr="009333F6">
        <w:rPr>
          <w:rFonts w:eastAsia="Calibri" w:cs="Times New Roman"/>
          <w:b/>
          <w:szCs w:val="24"/>
        </w:rPr>
        <w:tab/>
      </w:r>
      <w:bookmarkStart w:id="0" w:name="_GoBack"/>
      <w:r w:rsidRPr="009333F6">
        <w:rPr>
          <w:rFonts w:eastAsia="Calibri" w:cs="Times New Roman"/>
          <w:b/>
          <w:i/>
          <w:szCs w:val="24"/>
        </w:rPr>
        <w:t>Azar v. Allina Health Services</w:t>
      </w:r>
      <w:bookmarkEnd w:id="0"/>
      <w:r w:rsidRPr="009333F6">
        <w:rPr>
          <w:rFonts w:eastAsia="Calibri" w:cs="Times New Roman"/>
          <w:b/>
          <w:i/>
          <w:szCs w:val="24"/>
        </w:rPr>
        <w:t xml:space="preserve"> </w:t>
      </w:r>
      <w:r>
        <w:rPr>
          <w:rFonts w:eastAsia="Calibri" w:cs="Times New Roman"/>
          <w:b/>
          <w:szCs w:val="24"/>
        </w:rPr>
        <w:t>Calls Into Question</w:t>
      </w:r>
      <w:r w:rsidRPr="009333F6">
        <w:rPr>
          <w:rFonts w:eastAsia="Calibri" w:cs="Times New Roman"/>
          <w:b/>
          <w:szCs w:val="24"/>
        </w:rPr>
        <w:t xml:space="preserve"> </w:t>
      </w:r>
      <w:r>
        <w:rPr>
          <w:rFonts w:eastAsia="Calibri" w:cs="Times New Roman"/>
          <w:b/>
          <w:szCs w:val="24"/>
        </w:rPr>
        <w:t>Medicare</w:t>
      </w:r>
      <w:r w:rsidRPr="009333F6">
        <w:rPr>
          <w:rFonts w:eastAsia="Calibri" w:cs="Times New Roman"/>
          <w:b/>
          <w:szCs w:val="24"/>
        </w:rPr>
        <w:t xml:space="preserve"> </w:t>
      </w:r>
      <w:r w:rsidRPr="009333F6">
        <w:rPr>
          <w:b/>
          <w:color w:val="000000"/>
        </w:rPr>
        <w:t xml:space="preserve">Guidance </w:t>
      </w:r>
      <w:r>
        <w:rPr>
          <w:b/>
          <w:color w:val="000000"/>
        </w:rPr>
        <w:t>Governing</w:t>
      </w:r>
      <w:r w:rsidRPr="009333F6">
        <w:rPr>
          <w:rFonts w:eastAsia="Calibri" w:cs="Times New Roman"/>
          <w:b/>
          <w:szCs w:val="24"/>
        </w:rPr>
        <w:t xml:space="preserve"> </w:t>
      </w:r>
      <w:r>
        <w:rPr>
          <w:rFonts w:eastAsia="Calibri" w:cs="Times New Roman"/>
          <w:b/>
          <w:szCs w:val="24"/>
        </w:rPr>
        <w:t xml:space="preserve">Payment of </w:t>
      </w:r>
      <w:r w:rsidRPr="009333F6">
        <w:rPr>
          <w:rFonts w:eastAsia="Calibri" w:cs="Times New Roman"/>
          <w:b/>
          <w:szCs w:val="24"/>
        </w:rPr>
        <w:t>R</w:t>
      </w:r>
      <w:r w:rsidRPr="009333F6">
        <w:rPr>
          <w:b/>
          <w:color w:val="000000"/>
        </w:rPr>
        <w:t xml:space="preserve">ehabilitative </w:t>
      </w:r>
      <w:r>
        <w:rPr>
          <w:b/>
          <w:color w:val="000000"/>
        </w:rPr>
        <w:t xml:space="preserve">Services and Devices </w:t>
      </w:r>
    </w:p>
    <w:p w:rsidR="00E01CC8" w:rsidRPr="009A2D3C" w:rsidRDefault="00E01CC8" w:rsidP="00E01CC8">
      <w:pPr>
        <w:ind w:right="18"/>
        <w:jc w:val="both"/>
        <w:rPr>
          <w:rFonts w:eastAsia="Calibri" w:cs="Times New Roman"/>
          <w:b/>
          <w:szCs w:val="24"/>
        </w:rPr>
      </w:pPr>
      <w:r w:rsidRPr="009A2D3C">
        <w:rPr>
          <w:rFonts w:eastAsia="Calibri" w:cs="Times New Roman"/>
          <w:b/>
          <w:szCs w:val="24"/>
        </w:rPr>
        <w:t>______________________________________________________________________________</w:t>
      </w:r>
      <w:r>
        <w:rPr>
          <w:rFonts w:eastAsia="Calibri" w:cs="Times New Roman"/>
          <w:b/>
          <w:szCs w:val="24"/>
        </w:rPr>
        <w:t>__</w:t>
      </w:r>
    </w:p>
    <w:p w:rsidR="00E01CC8" w:rsidRDefault="00E01CC8" w:rsidP="00E01CC8">
      <w:pPr>
        <w:ind w:right="18"/>
        <w:jc w:val="both"/>
      </w:pPr>
    </w:p>
    <w:p w:rsidR="00E01CC8" w:rsidRPr="00FD01A6" w:rsidRDefault="00E01CC8" w:rsidP="00E01CC8">
      <w:pPr>
        <w:ind w:right="18"/>
        <w:rPr>
          <w:color w:val="000000"/>
        </w:rPr>
      </w:pPr>
      <w:r>
        <w:rPr>
          <w:color w:val="000000"/>
        </w:rPr>
        <w:t xml:space="preserve">On June 3, 2019, the United States Supreme Court issued a 7-1 decision in </w:t>
      </w:r>
      <w:r>
        <w:rPr>
          <w:i/>
          <w:iCs/>
          <w:color w:val="000000"/>
        </w:rPr>
        <w:t>Azar v. Allina Health Services</w:t>
      </w:r>
      <w:r>
        <w:rPr>
          <w:color w:val="000000"/>
        </w:rPr>
        <w:t>,</w:t>
      </w:r>
      <w:r>
        <w:rPr>
          <w:rStyle w:val="FootnoteReference"/>
          <w:color w:val="000000"/>
        </w:rPr>
        <w:footnoteReference w:id="1"/>
      </w:r>
      <w:r>
        <w:rPr>
          <w:color w:val="000000"/>
        </w:rPr>
        <w:t xml:space="preserve"> which will have far-reaching implications for the validity of the Centers for Medicare and Medicaid Services’ (“CMS’s”) sub-regulatory guidance governing Medicare payments to providers of rehabilitative services and devices.  Although this case concerned a nuanced issue involving the manner in which CMS calculates </w:t>
      </w:r>
      <w:r>
        <w:rPr>
          <w:rFonts w:eastAsia="Times New Roman" w:cs="Times New Roman"/>
          <w:szCs w:val="24"/>
        </w:rPr>
        <w:t xml:space="preserve">Medicare disproportionate share hospital (“DSH”) payments, the case ultimately hinged upon the interpretation of a Medicare statute which requires CMS to engage in notice-and-comment rulemaking.  The Court held that CMS must use notice-and-comment rulemaking before issuing guidance that establishes or changes a substantive legal standard governing Medicare payment for services.  </w:t>
      </w:r>
    </w:p>
    <w:p w:rsidR="00E01CC8" w:rsidRDefault="00E01CC8" w:rsidP="00E01CC8">
      <w:pPr>
        <w:ind w:right="18" w:firstLine="720"/>
        <w:rPr>
          <w:rFonts w:eastAsia="Times New Roman" w:cs="Times New Roman"/>
          <w:szCs w:val="24"/>
        </w:rPr>
      </w:pPr>
    </w:p>
    <w:p w:rsidR="00E01CC8" w:rsidRPr="003958D4" w:rsidRDefault="00E01CC8" w:rsidP="00E01CC8">
      <w:pPr>
        <w:ind w:right="18"/>
        <w:rPr>
          <w:color w:val="000000"/>
        </w:rPr>
      </w:pPr>
      <w:r>
        <w:rPr>
          <w:rFonts w:eastAsia="Times New Roman" w:cs="Times New Roman"/>
          <w:szCs w:val="24"/>
        </w:rPr>
        <w:t xml:space="preserve">The Supreme Court rejected the government’s argument that the Medicare statute’s notice-and-comment rulemaking requirements do not apply to </w:t>
      </w:r>
      <w:r>
        <w:rPr>
          <w:color w:val="000000"/>
        </w:rPr>
        <w:t xml:space="preserve">“interpretive” guidance that impacts Medicare payment, which CMS has historically issued through policy manuals and instructions to Medicare contractors.  This ruling opens the </w:t>
      </w:r>
      <w:r>
        <w:t xml:space="preserve">door to challenging other Medicare </w:t>
      </w:r>
      <w:r>
        <w:rPr>
          <w:color w:val="000000"/>
        </w:rPr>
        <w:t xml:space="preserve">sub-regulatory guidance—such as the Medicare Benefit Policy Manual (“MBPM”), which CMS issued without notice and an opportunity to comment.  This memorandum provides a high-level summary of </w:t>
      </w:r>
      <w:r>
        <w:rPr>
          <w:i/>
          <w:iCs/>
          <w:color w:val="000000"/>
        </w:rPr>
        <w:t xml:space="preserve">Azar v. Allina Health Services </w:t>
      </w:r>
      <w:r>
        <w:rPr>
          <w:iCs/>
          <w:color w:val="000000"/>
        </w:rPr>
        <w:t>and its potential impact on Medicare benefit and payment issues concerning rehabilitative care.</w:t>
      </w:r>
    </w:p>
    <w:p w:rsidR="00E01CC8" w:rsidRDefault="00E01CC8" w:rsidP="00E01CC8">
      <w:pPr>
        <w:ind w:right="18"/>
        <w:rPr>
          <w:iCs/>
          <w:color w:val="000000"/>
        </w:rPr>
      </w:pPr>
    </w:p>
    <w:p w:rsidR="00E01CC8" w:rsidRPr="009B3295" w:rsidRDefault="00E01CC8" w:rsidP="00E01CC8">
      <w:pPr>
        <w:ind w:right="18"/>
        <w:rPr>
          <w:b/>
          <w:color w:val="000000"/>
        </w:rPr>
      </w:pPr>
      <w:r w:rsidRPr="009B3295">
        <w:rPr>
          <w:b/>
          <w:i/>
          <w:iCs/>
          <w:color w:val="000000"/>
        </w:rPr>
        <w:t>Azar v. Allina Health Services</w:t>
      </w:r>
    </w:p>
    <w:p w:rsidR="00E01CC8" w:rsidRDefault="00E01CC8" w:rsidP="00E01CC8">
      <w:pPr>
        <w:ind w:right="18"/>
        <w:rPr>
          <w:rFonts w:eastAsia="Times New Roman" w:cs="Times New Roman"/>
          <w:szCs w:val="24"/>
        </w:rPr>
      </w:pPr>
    </w:p>
    <w:p w:rsidR="00E01CC8" w:rsidRDefault="00E01CC8" w:rsidP="00E01CC8">
      <w:pPr>
        <w:ind w:right="18"/>
      </w:pPr>
      <w:r>
        <w:t>The Medicare statute provides an additional payment to hospitals that serve a dispropor</w:t>
      </w:r>
      <w:r>
        <w:softHyphen/>
        <w:t>tionate share of low-income patients, known as the Medicare DSH payment.  The Medicare DSH payment is based on a formula that includes, among other factors, a hospital’s Medicare/</w:t>
      </w:r>
      <w:r w:rsidRPr="00BA4FD6">
        <w:rPr>
          <w:color w:val="000000"/>
        </w:rPr>
        <w:t>Supplemental Security Income (“</w:t>
      </w:r>
      <w:r>
        <w:t xml:space="preserve">SSI”) fraction and its Medicaid fraction.  Over the years, there have been numerous court cases concerning whether inpatient days attributable to patients enrolled in Medicare Part C plans should be included in the Medicare/SSI fraction or the Medicaid fraction.  </w:t>
      </w:r>
      <w:r w:rsidRPr="00BA4FD6">
        <w:rPr>
          <w:rFonts w:eastAsia="Times New Roman"/>
          <w:szCs w:val="24"/>
        </w:rPr>
        <w:t xml:space="preserve">Prior to 2004, </w:t>
      </w:r>
      <w:r>
        <w:rPr>
          <w:rFonts w:eastAsia="Times New Roman"/>
          <w:szCs w:val="24"/>
        </w:rPr>
        <w:t>CMS</w:t>
      </w:r>
      <w:r w:rsidRPr="00BA4FD6">
        <w:rPr>
          <w:rFonts w:eastAsia="Times New Roman"/>
          <w:szCs w:val="24"/>
        </w:rPr>
        <w:t xml:space="preserve"> excluded </w:t>
      </w:r>
      <w:r w:rsidRPr="00A25B0E">
        <w:t xml:space="preserve">Medicare Part C </w:t>
      </w:r>
      <w:r>
        <w:t>days</w:t>
      </w:r>
      <w:r w:rsidRPr="00D618DC">
        <w:t xml:space="preserve"> </w:t>
      </w:r>
      <w:r>
        <w:t>from</w:t>
      </w:r>
      <w:r w:rsidRPr="00A25B0E">
        <w:t xml:space="preserve"> the Medicare/SSI </w:t>
      </w:r>
      <w:r>
        <w:t xml:space="preserve">fraction and included such days </w:t>
      </w:r>
      <w:r w:rsidRPr="00A25B0E">
        <w:t>in</w:t>
      </w:r>
      <w:r>
        <w:t xml:space="preserve"> the</w:t>
      </w:r>
      <w:r w:rsidRPr="00A25B0E">
        <w:t xml:space="preserve"> </w:t>
      </w:r>
      <w:r>
        <w:t>Medicaid</w:t>
      </w:r>
      <w:r w:rsidRPr="00A25B0E">
        <w:t xml:space="preserve"> </w:t>
      </w:r>
      <w:r>
        <w:t>fraction</w:t>
      </w:r>
      <w:r w:rsidRPr="00A25B0E">
        <w:t xml:space="preserve"> when determining the DSH</w:t>
      </w:r>
      <w:r>
        <w:t xml:space="preserve"> </w:t>
      </w:r>
      <w:r w:rsidRPr="00A25B0E">
        <w:t>payments</w:t>
      </w:r>
      <w:r>
        <w:t xml:space="preserve">.  </w:t>
      </w:r>
    </w:p>
    <w:p w:rsidR="00E01CC8" w:rsidRDefault="00E01CC8" w:rsidP="00E01CC8">
      <w:pPr>
        <w:ind w:right="18"/>
      </w:pPr>
    </w:p>
    <w:p w:rsidR="00E01CC8" w:rsidRDefault="00E01CC8" w:rsidP="00E01CC8">
      <w:pPr>
        <w:ind w:right="18"/>
      </w:pPr>
      <w:r w:rsidRPr="00A25B0E">
        <w:lastRenderedPageBreak/>
        <w:t xml:space="preserve">In 2004, CMS </w:t>
      </w:r>
      <w:r>
        <w:t>promulgated a final rule purporting</w:t>
      </w:r>
      <w:r w:rsidRPr="00A25B0E">
        <w:t xml:space="preserve"> to establish a policy to include Part C day</w:t>
      </w:r>
      <w:r>
        <w:t xml:space="preserve">s in the Medicare/SSI fraction </w:t>
      </w:r>
      <w:r w:rsidRPr="00A25B0E">
        <w:t xml:space="preserve">and to exclude such days </w:t>
      </w:r>
      <w:r>
        <w:t>from the numerator of the Medicaid fraction</w:t>
      </w:r>
      <w:r w:rsidRPr="00A25B0E">
        <w:t>.</w:t>
      </w:r>
      <w:r>
        <w:rPr>
          <w:rStyle w:val="FootnoteReference"/>
        </w:rPr>
        <w:footnoteReference w:id="2"/>
      </w:r>
      <w:r>
        <w:t xml:space="preserve">  However, </w:t>
      </w:r>
      <w:r>
        <w:rPr>
          <w:color w:val="000000"/>
        </w:rPr>
        <w:t>i</w:t>
      </w:r>
      <w:r w:rsidRPr="00BA4FD6">
        <w:rPr>
          <w:color w:val="000000"/>
        </w:rPr>
        <w:t xml:space="preserve">n April 2014, the United States Court of Appeals for the District of Columbia Circuit </w:t>
      </w:r>
      <w:r w:rsidRPr="00BA4FD6">
        <w:rPr>
          <w:rFonts w:eastAsia="Times New Roman"/>
          <w:szCs w:val="24"/>
        </w:rPr>
        <w:t>h</w:t>
      </w:r>
      <w:r>
        <w:rPr>
          <w:rFonts w:eastAsia="Times New Roman"/>
          <w:szCs w:val="24"/>
        </w:rPr>
        <w:t xml:space="preserve">eld that CMS’s 2004 final rule </w:t>
      </w:r>
      <w:r w:rsidRPr="00BA4FD6">
        <w:rPr>
          <w:rFonts w:eastAsia="Times New Roman"/>
          <w:szCs w:val="24"/>
        </w:rPr>
        <w:t>was invalid.</w:t>
      </w:r>
      <w:r>
        <w:rPr>
          <w:rStyle w:val="FootnoteReference"/>
          <w:rFonts w:eastAsia="Times New Roman"/>
          <w:szCs w:val="24"/>
        </w:rPr>
        <w:footnoteReference w:id="3"/>
      </w:r>
      <w:r w:rsidRPr="00BA4FD6">
        <w:rPr>
          <w:rFonts w:eastAsia="Times New Roman"/>
          <w:szCs w:val="24"/>
        </w:rPr>
        <w:t xml:space="preserve">  </w:t>
      </w:r>
      <w:r>
        <w:rPr>
          <w:rFonts w:eastAsia="Times New Roman"/>
          <w:szCs w:val="24"/>
        </w:rPr>
        <w:t>Despite this ruling, i</w:t>
      </w:r>
      <w:r>
        <w:t>n June 2014, CMS posted on its website the Medicare/SSI fractions for fiscal year 2012, which included Part C days in the Medicare/SSI fractions.  Several hospitals subsequently filed suit, which ultimately lead to the Supreme Court’s review of whether CMS violated the Medicare statute when it published its policy to include Medicare Part C days in the Medicare/SSI fractions for fiscal year 2012.</w:t>
      </w:r>
    </w:p>
    <w:p w:rsidR="00E01CC8" w:rsidRDefault="00E01CC8" w:rsidP="00E01CC8">
      <w:pPr>
        <w:ind w:right="18"/>
      </w:pPr>
    </w:p>
    <w:p w:rsidR="00E01CC8" w:rsidRDefault="00E01CC8" w:rsidP="00E01CC8">
      <w:pPr>
        <w:ind w:right="18"/>
        <w:rPr>
          <w:rFonts w:eastAsia="Times New Roman" w:cs="Times New Roman"/>
          <w:color w:val="000000"/>
          <w:szCs w:val="24"/>
        </w:rPr>
      </w:pPr>
      <w:r w:rsidRPr="002B1391">
        <w:rPr>
          <w:color w:val="000000"/>
        </w:rPr>
        <w:t>On June 3, 2019, the Supreme Court issued a 7-1 decision, holding that the 2012</w:t>
      </w:r>
      <w:r>
        <w:rPr>
          <w:color w:val="000000"/>
        </w:rPr>
        <w:t xml:space="preserve"> Medicare/</w:t>
      </w:r>
      <w:r w:rsidRPr="002B1391">
        <w:rPr>
          <w:color w:val="000000"/>
        </w:rPr>
        <w:t xml:space="preserve">SSI </w:t>
      </w:r>
      <w:r>
        <w:rPr>
          <w:color w:val="000000"/>
        </w:rPr>
        <w:t>fractions</w:t>
      </w:r>
      <w:r w:rsidRPr="002B1391">
        <w:rPr>
          <w:color w:val="000000"/>
        </w:rPr>
        <w:t xml:space="preserve"> were invalid because CMS failed to follow notice-and-comment rulemaking procedures required under the Medicare statute when it included Part C days in those fractions.</w:t>
      </w:r>
      <w:r>
        <w:rPr>
          <w:color w:val="000000"/>
        </w:rPr>
        <w:t xml:space="preserve">  </w:t>
      </w:r>
      <w:r w:rsidRPr="002B1391">
        <w:rPr>
          <w:color w:val="000000"/>
        </w:rPr>
        <w:t>The Medicare statute requires CMS to provide public notice and</w:t>
      </w:r>
      <w:r>
        <w:rPr>
          <w:color w:val="000000"/>
        </w:rPr>
        <w:t xml:space="preserve"> a 60-day comment period for a “</w:t>
      </w:r>
      <w:r w:rsidRPr="002B1391">
        <w:rPr>
          <w:rFonts w:eastAsia="Times New Roman" w:cs="Times New Roman"/>
          <w:color w:val="000000"/>
          <w:szCs w:val="24"/>
        </w:rPr>
        <w:t>rule, requirement, or other statement of policy (other than a national coverage determination) that establishes or changes a substantive legal standard governing the scope of benefits, the payment for services, or the eligibility of individuals, entities, or organizations to furnish or receive services or benefits</w:t>
      </w:r>
      <w:r>
        <w:rPr>
          <w:rFonts w:eastAsia="Times New Roman" w:cs="Times New Roman"/>
          <w:color w:val="000000"/>
          <w:szCs w:val="24"/>
        </w:rPr>
        <w:t>” under Medicare.</w:t>
      </w:r>
      <w:r>
        <w:rPr>
          <w:rStyle w:val="FootnoteReference"/>
          <w:rFonts w:eastAsia="Times New Roman" w:cs="Times New Roman"/>
          <w:color w:val="000000"/>
          <w:szCs w:val="24"/>
        </w:rPr>
        <w:footnoteReference w:id="4"/>
      </w:r>
      <w:r>
        <w:rPr>
          <w:rFonts w:eastAsia="Times New Roman" w:cs="Times New Roman"/>
          <w:color w:val="000000"/>
          <w:szCs w:val="24"/>
        </w:rPr>
        <w:t xml:space="preserve">  </w:t>
      </w:r>
    </w:p>
    <w:p w:rsidR="00E01CC8" w:rsidRDefault="00E01CC8" w:rsidP="00E01CC8">
      <w:pPr>
        <w:ind w:right="18" w:firstLine="720"/>
        <w:rPr>
          <w:rFonts w:eastAsia="Times New Roman" w:cs="Times New Roman"/>
          <w:color w:val="000000"/>
          <w:szCs w:val="24"/>
        </w:rPr>
      </w:pPr>
    </w:p>
    <w:p w:rsidR="00E01CC8" w:rsidRDefault="00E01CC8" w:rsidP="00E01CC8">
      <w:pPr>
        <w:ind w:right="18"/>
      </w:pPr>
      <w:r>
        <w:rPr>
          <w:rFonts w:eastAsia="Times New Roman" w:cs="Times New Roman"/>
          <w:color w:val="000000"/>
          <w:szCs w:val="24"/>
        </w:rPr>
        <w:t xml:space="preserve">The government argued that the Medicare </w:t>
      </w:r>
      <w:r>
        <w:rPr>
          <w:color w:val="000000"/>
        </w:rPr>
        <w:t>statute’s notice-and-comment directives are functionally equivalent to the Administrative Procedure Act’s (“APA’s”) notice-and-comment requirements, which do not apply to “</w:t>
      </w:r>
      <w:r>
        <w:t>interpretative rules” that merely advise the public of CMS’s interpretation of statutes and rules that it administers.</w:t>
      </w:r>
      <w:r>
        <w:rPr>
          <w:rStyle w:val="FootnoteReference"/>
        </w:rPr>
        <w:footnoteReference w:id="5"/>
      </w:r>
      <w:r>
        <w:t xml:space="preserve">  The government asserted that because its policy for counting Part C days in the Medicare/SSI fraction for fiscal year 2012 is an interpretive rule, as opposed to a substantive rule, under the APA, it was not required to provide notice and an opportunity to comment before adopting the policy.</w:t>
      </w:r>
    </w:p>
    <w:p w:rsidR="00E01CC8" w:rsidRDefault="00E01CC8" w:rsidP="00E01CC8">
      <w:pPr>
        <w:ind w:right="18"/>
      </w:pPr>
    </w:p>
    <w:p w:rsidR="00E01CC8" w:rsidRDefault="00E01CC8" w:rsidP="00E01CC8">
      <w:pPr>
        <w:ind w:right="18"/>
      </w:pPr>
      <w:r>
        <w:t xml:space="preserve">The Supreme Court disagreed, </w:t>
      </w:r>
      <w:r>
        <w:rPr>
          <w:color w:val="000000"/>
        </w:rPr>
        <w:t xml:space="preserve">determining </w:t>
      </w:r>
      <w:r w:rsidRPr="00120A8C">
        <w:rPr>
          <w:color w:val="000000"/>
        </w:rPr>
        <w:t xml:space="preserve">that the Medicare statute’s notice-and-comment requirements, which </w:t>
      </w:r>
      <w:r>
        <w:rPr>
          <w:color w:val="000000"/>
        </w:rPr>
        <w:t>direct</w:t>
      </w:r>
      <w:r w:rsidRPr="00120A8C">
        <w:rPr>
          <w:color w:val="000000"/>
        </w:rPr>
        <w:t xml:space="preserve"> </w:t>
      </w:r>
      <w:r>
        <w:t>CMS</w:t>
      </w:r>
      <w:r w:rsidRPr="00120A8C">
        <w:rPr>
          <w:color w:val="000000"/>
        </w:rPr>
        <w:t xml:space="preserve"> to provide public notice and a 60-day comment period for any rule, requirement, or other statement of policy that establishes or changes a “substantive legal standard” governin</w:t>
      </w:r>
      <w:r>
        <w:rPr>
          <w:color w:val="000000"/>
        </w:rPr>
        <w:t xml:space="preserve">g Medicare payment for services, </w:t>
      </w:r>
      <w:r>
        <w:t xml:space="preserve">are more expansive than the APA’s requirements.  In particular, the Court found that the Medicare statute does not provide an exemption for “interpretive” rules, as under the APA.  The Supreme Court determined that the 2012 </w:t>
      </w:r>
      <w:r>
        <w:rPr>
          <w:color w:val="000000"/>
        </w:rPr>
        <w:t>Medicare/SSI fractions changed a</w:t>
      </w:r>
      <w:r w:rsidRPr="00120A8C">
        <w:rPr>
          <w:color w:val="000000"/>
        </w:rPr>
        <w:t xml:space="preserve"> “substantive legal standard” governin</w:t>
      </w:r>
      <w:r>
        <w:rPr>
          <w:color w:val="000000"/>
        </w:rPr>
        <w:t xml:space="preserve">g Medicare payment and, therefore, implicated the Medicare statue’s notice-and-comment rulemaking requirements.  Because CMS merely posted the </w:t>
      </w:r>
      <w:r>
        <w:t xml:space="preserve">2012 </w:t>
      </w:r>
      <w:r>
        <w:rPr>
          <w:color w:val="000000"/>
        </w:rPr>
        <w:t>Medicare/SSI fractions on the internet without notice and comment, the</w:t>
      </w:r>
      <w:r>
        <w:t xml:space="preserve"> Supreme Court vacated</w:t>
      </w:r>
      <w:r w:rsidRPr="004C53EA">
        <w:rPr>
          <w:color w:val="000000"/>
        </w:rPr>
        <w:t xml:space="preserve"> </w:t>
      </w:r>
      <w:r>
        <w:rPr>
          <w:color w:val="000000"/>
        </w:rPr>
        <w:t xml:space="preserve">the </w:t>
      </w:r>
      <w:r>
        <w:t xml:space="preserve">2012 </w:t>
      </w:r>
      <w:r>
        <w:rPr>
          <w:color w:val="000000"/>
        </w:rPr>
        <w:t>Medicare/SSI fractions.</w:t>
      </w:r>
      <w:r>
        <w:rPr>
          <w:rStyle w:val="FootnoteReference"/>
          <w:color w:val="000000"/>
        </w:rPr>
        <w:footnoteReference w:id="6"/>
      </w:r>
      <w:r>
        <w:rPr>
          <w:color w:val="000000"/>
        </w:rPr>
        <w:t xml:space="preserve">  </w:t>
      </w:r>
    </w:p>
    <w:p w:rsidR="00E01CC8" w:rsidRDefault="00E01CC8" w:rsidP="00E01CC8">
      <w:pPr>
        <w:ind w:right="18"/>
      </w:pPr>
    </w:p>
    <w:p w:rsidR="00E01CC8" w:rsidRPr="00177053" w:rsidRDefault="00E01CC8" w:rsidP="00E01CC8">
      <w:pPr>
        <w:ind w:right="18"/>
        <w:rPr>
          <w:b/>
          <w:i/>
          <w:color w:val="000000"/>
        </w:rPr>
      </w:pPr>
      <w:r w:rsidRPr="009333F6">
        <w:rPr>
          <w:b/>
        </w:rPr>
        <w:t>Implications of</w:t>
      </w:r>
      <w:r w:rsidRPr="00177053">
        <w:rPr>
          <w:b/>
          <w:i/>
        </w:rPr>
        <w:t xml:space="preserve"> </w:t>
      </w:r>
      <w:r w:rsidRPr="00177053">
        <w:rPr>
          <w:b/>
          <w:i/>
          <w:iCs/>
          <w:color w:val="000000"/>
        </w:rPr>
        <w:t>Azar v. Allina Health Services</w:t>
      </w:r>
      <w:r>
        <w:rPr>
          <w:b/>
          <w:i/>
          <w:iCs/>
          <w:color w:val="000000"/>
        </w:rPr>
        <w:t xml:space="preserve"> </w:t>
      </w:r>
    </w:p>
    <w:p w:rsidR="00E01CC8" w:rsidRPr="00120A8C" w:rsidRDefault="00E01CC8" w:rsidP="00E01CC8">
      <w:pPr>
        <w:ind w:right="18"/>
        <w:rPr>
          <w:rFonts w:eastAsia="Times New Roman" w:cs="Times New Roman"/>
          <w:color w:val="000000"/>
          <w:szCs w:val="24"/>
        </w:rPr>
      </w:pPr>
    </w:p>
    <w:p w:rsidR="00E01CC8" w:rsidRDefault="00E01CC8" w:rsidP="00E01CC8">
      <w:pPr>
        <w:ind w:right="18"/>
        <w:rPr>
          <w:color w:val="000000"/>
        </w:rPr>
      </w:pPr>
      <w:r>
        <w:rPr>
          <w:rFonts w:eastAsia="Calibri" w:cs="Times New Roman"/>
        </w:rPr>
        <w:t>Although the Supreme Court’s decision only addressed the calculation of Medicare DSH payments, t</w:t>
      </w:r>
      <w:r>
        <w:t xml:space="preserve">he Supreme Court’s decision will have significant repercussions for other Medicare </w:t>
      </w:r>
      <w:r>
        <w:rPr>
          <w:color w:val="000000"/>
        </w:rPr>
        <w:t xml:space="preserve">“interpretive” </w:t>
      </w:r>
      <w:r w:rsidRPr="002B1391">
        <w:rPr>
          <w:rFonts w:eastAsia="Times New Roman" w:cs="Times New Roman"/>
          <w:color w:val="000000"/>
          <w:szCs w:val="24"/>
        </w:rPr>
        <w:t>rule</w:t>
      </w:r>
      <w:r>
        <w:rPr>
          <w:rFonts w:eastAsia="Times New Roman" w:cs="Times New Roman"/>
          <w:color w:val="000000"/>
          <w:szCs w:val="24"/>
        </w:rPr>
        <w:t xml:space="preserve">s </w:t>
      </w:r>
      <w:r w:rsidRPr="002B1391">
        <w:rPr>
          <w:rFonts w:eastAsia="Times New Roman" w:cs="Times New Roman"/>
          <w:color w:val="000000"/>
          <w:szCs w:val="24"/>
        </w:rPr>
        <w:t>or statement</w:t>
      </w:r>
      <w:r>
        <w:rPr>
          <w:rFonts w:eastAsia="Times New Roman" w:cs="Times New Roman"/>
          <w:color w:val="000000"/>
          <w:szCs w:val="24"/>
        </w:rPr>
        <w:t>s</w:t>
      </w:r>
      <w:r w:rsidRPr="002B1391">
        <w:rPr>
          <w:rFonts w:eastAsia="Times New Roman" w:cs="Times New Roman"/>
          <w:color w:val="000000"/>
          <w:szCs w:val="24"/>
        </w:rPr>
        <w:t xml:space="preserve"> of policy </w:t>
      </w:r>
      <w:r>
        <w:rPr>
          <w:color w:val="000000"/>
        </w:rPr>
        <w:t>that affect Medicare payment but were not issued in accordance with the Medicare statute’s notice-and-comment requirements.  This decision</w:t>
      </w:r>
      <w:r>
        <w:t xml:space="preserve"> opens the door for providers of rehabilitative care to challenge Medicare sub-regulatory guidance that </w:t>
      </w:r>
      <w:r w:rsidRPr="00CC50F1">
        <w:rPr>
          <w:color w:val="000000"/>
        </w:rPr>
        <w:t>CMS has historically issued</w:t>
      </w:r>
      <w:r>
        <w:rPr>
          <w:color w:val="000000"/>
        </w:rPr>
        <w:t xml:space="preserve"> </w:t>
      </w:r>
      <w:r w:rsidRPr="00CC50F1">
        <w:rPr>
          <w:color w:val="000000"/>
        </w:rPr>
        <w:t xml:space="preserve">through policy manuals </w:t>
      </w:r>
      <w:r>
        <w:rPr>
          <w:color w:val="000000"/>
        </w:rPr>
        <w:t>and</w:t>
      </w:r>
      <w:r w:rsidRPr="00CC50F1">
        <w:rPr>
          <w:color w:val="000000"/>
        </w:rPr>
        <w:t xml:space="preserve"> instruct</w:t>
      </w:r>
      <w:r>
        <w:rPr>
          <w:color w:val="000000"/>
        </w:rPr>
        <w:t xml:space="preserve">ions to Medicare Administrative Contractors.  This includes the standards governing coverage of inpatient rehabilitation facility (“IRF”) care that are stated in the MBPM but not in the Code of Federal Regulation.   </w:t>
      </w:r>
    </w:p>
    <w:p w:rsidR="00E01CC8" w:rsidRDefault="00E01CC8" w:rsidP="00E01CC8">
      <w:pPr>
        <w:ind w:right="18"/>
        <w:rPr>
          <w:color w:val="000000"/>
        </w:rPr>
      </w:pPr>
    </w:p>
    <w:p w:rsidR="00E01CC8" w:rsidRPr="00B53D47" w:rsidRDefault="00E01CC8" w:rsidP="00E01CC8">
      <w:pPr>
        <w:spacing w:after="200"/>
        <w:rPr>
          <w:rFonts w:cs="Times New Roman"/>
          <w:szCs w:val="24"/>
        </w:rPr>
      </w:pPr>
      <w:r w:rsidRPr="00CE2B87">
        <w:rPr>
          <w:rFonts w:cs="Times New Roman"/>
          <w:szCs w:val="24"/>
        </w:rPr>
        <w:t>CMS</w:t>
      </w:r>
      <w:r w:rsidRPr="0037240E">
        <w:rPr>
          <w:rFonts w:cs="Times New Roman"/>
          <w:szCs w:val="24"/>
        </w:rPr>
        <w:t xml:space="preserve"> established coverage criteria for </w:t>
      </w:r>
      <w:r>
        <w:rPr>
          <w:rFonts w:cs="Times New Roman"/>
          <w:szCs w:val="24"/>
        </w:rPr>
        <w:t>IRF</w:t>
      </w:r>
      <w:r w:rsidRPr="0037240E">
        <w:rPr>
          <w:rFonts w:cs="Times New Roman"/>
          <w:szCs w:val="24"/>
        </w:rPr>
        <w:t xml:space="preserve"> care that can </w:t>
      </w:r>
      <w:r>
        <w:rPr>
          <w:rFonts w:cs="Times New Roman"/>
          <w:szCs w:val="24"/>
        </w:rPr>
        <w:t xml:space="preserve">be found at 42 C.F.R. § 412.622, a regulation that was subject to notice and comment.  These regulations, therefore, are valid under both the APA and the Medicare statute and are unaffected by </w:t>
      </w:r>
      <w:r>
        <w:rPr>
          <w:i/>
          <w:iCs/>
          <w:color w:val="000000"/>
        </w:rPr>
        <w:t>Allina Health Services</w:t>
      </w:r>
      <w:r>
        <w:rPr>
          <w:rFonts w:cs="Times New Roman"/>
          <w:szCs w:val="24"/>
        </w:rPr>
        <w:t xml:space="preserve">.  </w:t>
      </w:r>
    </w:p>
    <w:p w:rsidR="00E01CC8" w:rsidRDefault="00E01CC8" w:rsidP="00E01CC8">
      <w:pPr>
        <w:spacing w:after="200"/>
        <w:rPr>
          <w:rFonts w:cs="Times New Roman"/>
          <w:szCs w:val="24"/>
        </w:rPr>
      </w:pPr>
      <w:r>
        <w:rPr>
          <w:rFonts w:cs="Times New Roman"/>
          <w:szCs w:val="24"/>
        </w:rPr>
        <w:t>However, CMS published the MBPM, which contains more specific IRF coverage standards that are not reflected in the Medicare statute or regulation.</w:t>
      </w:r>
      <w:r>
        <w:rPr>
          <w:rStyle w:val="FootnoteReference"/>
          <w:rFonts w:cs="Times New Roman"/>
          <w:szCs w:val="24"/>
        </w:rPr>
        <w:footnoteReference w:id="7"/>
      </w:r>
      <w:r>
        <w:rPr>
          <w:rFonts w:cs="Times New Roman"/>
          <w:szCs w:val="24"/>
        </w:rPr>
        <w:t xml:space="preserve">  For instance, the MBPM “requires” that the preadmission screening include t</w:t>
      </w:r>
      <w:r w:rsidRPr="00D60A3C">
        <w:rPr>
          <w:rFonts w:cs="Times New Roman"/>
          <w:szCs w:val="24"/>
        </w:rPr>
        <w:t>he patient’s prior level of function (prior to the event or condition that led to the patient’s need for intensive rehabilitation therapy);</w:t>
      </w:r>
      <w:r>
        <w:rPr>
          <w:rFonts w:cs="Times New Roman"/>
          <w:szCs w:val="24"/>
        </w:rPr>
        <w:t xml:space="preserve"> t</w:t>
      </w:r>
      <w:r w:rsidRPr="00D60A3C">
        <w:rPr>
          <w:rFonts w:cs="Times New Roman"/>
          <w:szCs w:val="24"/>
        </w:rPr>
        <w:t>he patient’s expected level of improvement;</w:t>
      </w:r>
      <w:r>
        <w:rPr>
          <w:rFonts w:cs="Times New Roman"/>
          <w:szCs w:val="24"/>
        </w:rPr>
        <w:t xml:space="preserve"> t</w:t>
      </w:r>
      <w:r w:rsidRPr="00D60A3C">
        <w:rPr>
          <w:rFonts w:cs="Times New Roman"/>
          <w:szCs w:val="24"/>
        </w:rPr>
        <w:t>he expected length of time necessary for the patient to achieve the expected level of improvement;</w:t>
      </w:r>
      <w:r>
        <w:rPr>
          <w:rFonts w:cs="Times New Roman"/>
          <w:szCs w:val="24"/>
        </w:rPr>
        <w:t xml:space="preserve"> e</w:t>
      </w:r>
      <w:r w:rsidRPr="00D60A3C">
        <w:rPr>
          <w:rFonts w:cs="Times New Roman"/>
          <w:szCs w:val="24"/>
        </w:rPr>
        <w:t>valuation of the patient’s risk for clinical complications;</w:t>
      </w:r>
      <w:r>
        <w:rPr>
          <w:rFonts w:cs="Times New Roman"/>
          <w:szCs w:val="24"/>
        </w:rPr>
        <w:t xml:space="preserve"> t</w:t>
      </w:r>
      <w:r w:rsidRPr="00D60A3C">
        <w:rPr>
          <w:rFonts w:cs="Times New Roman"/>
          <w:szCs w:val="24"/>
        </w:rPr>
        <w:t>he conditions that caused the need for rehabilitation;</w:t>
      </w:r>
      <w:r>
        <w:rPr>
          <w:rFonts w:cs="Times New Roman"/>
          <w:szCs w:val="24"/>
        </w:rPr>
        <w:t xml:space="preserve"> t</w:t>
      </w:r>
      <w:r w:rsidRPr="00D60A3C">
        <w:rPr>
          <w:rFonts w:cs="Times New Roman"/>
          <w:szCs w:val="24"/>
        </w:rPr>
        <w:t>he treatments needed;</w:t>
      </w:r>
      <w:r>
        <w:rPr>
          <w:rFonts w:cs="Times New Roman"/>
          <w:szCs w:val="24"/>
        </w:rPr>
        <w:t xml:space="preserve"> t</w:t>
      </w:r>
      <w:r w:rsidRPr="00D60A3C">
        <w:rPr>
          <w:rFonts w:cs="Times New Roman"/>
          <w:szCs w:val="24"/>
        </w:rPr>
        <w:t>he expected frequency and duration of treatment in the IRF;</w:t>
      </w:r>
      <w:r>
        <w:rPr>
          <w:rFonts w:cs="Times New Roman"/>
          <w:szCs w:val="24"/>
        </w:rPr>
        <w:t xml:space="preserve"> t</w:t>
      </w:r>
      <w:r w:rsidRPr="00D60A3C">
        <w:rPr>
          <w:rFonts w:cs="Times New Roman"/>
          <w:szCs w:val="24"/>
        </w:rPr>
        <w:t>he anticipated discharge destination;</w:t>
      </w:r>
      <w:r>
        <w:rPr>
          <w:rFonts w:cs="Times New Roman"/>
          <w:szCs w:val="24"/>
        </w:rPr>
        <w:t xml:space="preserve"> and a</w:t>
      </w:r>
      <w:r w:rsidRPr="005613C4">
        <w:rPr>
          <w:rFonts w:cs="Times New Roman"/>
          <w:szCs w:val="24"/>
        </w:rPr>
        <w:t>ny antici</w:t>
      </w:r>
      <w:r>
        <w:rPr>
          <w:rFonts w:cs="Times New Roman"/>
          <w:szCs w:val="24"/>
        </w:rPr>
        <w:t>pated post-discharge treatments.</w:t>
      </w:r>
      <w:r>
        <w:rPr>
          <w:rStyle w:val="FootnoteReference"/>
          <w:rFonts w:cs="Times New Roman"/>
          <w:szCs w:val="24"/>
        </w:rPr>
        <w:footnoteReference w:id="8"/>
      </w:r>
      <w:r>
        <w:rPr>
          <w:rFonts w:cs="Times New Roman"/>
          <w:szCs w:val="24"/>
        </w:rPr>
        <w:t xml:space="preserve">  The MBPM also directs the </w:t>
      </w:r>
      <w:r w:rsidRPr="0000061E">
        <w:rPr>
          <w:rFonts w:cs="Times New Roman"/>
          <w:szCs w:val="24"/>
        </w:rPr>
        <w:t xml:space="preserve">rehabilitation physician </w:t>
      </w:r>
      <w:r>
        <w:rPr>
          <w:rFonts w:cs="Times New Roman"/>
          <w:szCs w:val="24"/>
        </w:rPr>
        <w:t>to</w:t>
      </w:r>
      <w:r w:rsidRPr="0000061E">
        <w:rPr>
          <w:rFonts w:cs="Times New Roman"/>
          <w:szCs w:val="24"/>
        </w:rPr>
        <w:t xml:space="preserve"> document concurrence with the preadmission screening </w:t>
      </w:r>
      <w:r w:rsidRPr="0000061E">
        <w:rPr>
          <w:rFonts w:cs="Times New Roman"/>
          <w:i/>
          <w:szCs w:val="24"/>
        </w:rPr>
        <w:t>prior to the IRF admission</w:t>
      </w:r>
      <w:r w:rsidRPr="0000061E">
        <w:rPr>
          <w:rFonts w:cs="Times New Roman"/>
          <w:szCs w:val="24"/>
        </w:rPr>
        <w:t>.</w:t>
      </w:r>
      <w:r>
        <w:rPr>
          <w:rStyle w:val="FootnoteReference"/>
          <w:rFonts w:cs="Times New Roman"/>
          <w:szCs w:val="24"/>
        </w:rPr>
        <w:footnoteReference w:id="9"/>
      </w:r>
      <w:r>
        <w:rPr>
          <w:rFonts w:cs="Times New Roman"/>
          <w:szCs w:val="24"/>
        </w:rPr>
        <w:t xml:space="preserve">  </w:t>
      </w:r>
    </w:p>
    <w:p w:rsidR="00E01CC8" w:rsidRDefault="00E01CC8" w:rsidP="00E01CC8">
      <w:pPr>
        <w:spacing w:after="200"/>
        <w:rPr>
          <w:color w:val="000000"/>
        </w:rPr>
      </w:pPr>
      <w:r>
        <w:rPr>
          <w:rFonts w:cs="Times New Roman"/>
          <w:szCs w:val="24"/>
        </w:rPr>
        <w:t xml:space="preserve">These MBPM “requirements” are not grounded in </w:t>
      </w:r>
      <w:r>
        <w:rPr>
          <w:color w:val="000000"/>
        </w:rPr>
        <w:t xml:space="preserve">statutory or regulatory language and were not promulgated in accordance with the Medicare statute’s notice-and-comment requirements.  However, we have seen that failure to comply with these additional MBPM standards may result in a denial of an IRF claim.  (It should be noted that some provisions of the MBPM—such as the brief exceptions policy—are helpful to IRFs and, therefore, the holding in </w:t>
      </w:r>
      <w:r w:rsidRPr="00565350">
        <w:rPr>
          <w:i/>
          <w:color w:val="000000"/>
        </w:rPr>
        <w:t>Al</w:t>
      </w:r>
      <w:r>
        <w:rPr>
          <w:i/>
          <w:color w:val="000000"/>
        </w:rPr>
        <w:t>lina Health Services</w:t>
      </w:r>
      <w:r>
        <w:rPr>
          <w:color w:val="000000"/>
        </w:rPr>
        <w:t xml:space="preserve"> may cut against IRFs in some instances.)</w:t>
      </w:r>
    </w:p>
    <w:p w:rsidR="00E01CC8" w:rsidRPr="004B728C" w:rsidRDefault="00E01CC8" w:rsidP="00E01CC8">
      <w:pPr>
        <w:spacing w:after="200"/>
        <w:rPr>
          <w:rFonts w:eastAsia="Times New Roman" w:cs="Times New Roman"/>
          <w:szCs w:val="24"/>
        </w:rPr>
      </w:pPr>
      <w:r>
        <w:rPr>
          <w:rStyle w:val="e24kjd"/>
          <w:rFonts w:cs="Times New Roman"/>
          <w:szCs w:val="24"/>
        </w:rPr>
        <w:t xml:space="preserve">The Supreme Court’s decision is not the only basis to challenge the MPBM-only IRF standards.  In </w:t>
      </w:r>
      <w:r w:rsidRPr="00742A87">
        <w:rPr>
          <w:rFonts w:eastAsia="Times New Roman" w:cs="Times New Roman"/>
          <w:i/>
          <w:szCs w:val="24"/>
        </w:rPr>
        <w:t>Cumberland County Hospital System, Inc. v. Price</w:t>
      </w:r>
      <w:r w:rsidRPr="00742A87">
        <w:rPr>
          <w:rFonts w:eastAsia="Times New Roman" w:cs="Times New Roman"/>
          <w:szCs w:val="24"/>
        </w:rPr>
        <w:t xml:space="preserve">, </w:t>
      </w:r>
      <w:r>
        <w:rPr>
          <w:rFonts w:eastAsia="Times New Roman" w:cs="Times New Roman"/>
          <w:szCs w:val="24"/>
        </w:rPr>
        <w:t>the United States District Court for the Eastern District of North Carolina</w:t>
      </w:r>
      <w:r w:rsidRPr="00742A87">
        <w:rPr>
          <w:rFonts w:eastAsia="Times New Roman" w:cs="Times New Roman"/>
          <w:szCs w:val="24"/>
        </w:rPr>
        <w:t xml:space="preserve"> held that the MBPM “standards” </w:t>
      </w:r>
      <w:r>
        <w:rPr>
          <w:rFonts w:eastAsia="Times New Roman" w:cs="Times New Roman"/>
          <w:szCs w:val="24"/>
        </w:rPr>
        <w:t>set forth in</w:t>
      </w:r>
      <w:r w:rsidRPr="00742A87">
        <w:rPr>
          <w:rFonts w:eastAsia="Times New Roman" w:cs="Times New Roman"/>
          <w:szCs w:val="24"/>
        </w:rPr>
        <w:t xml:space="preserve"> Chapter 1, § 110.1 cannot be applied as mandatory.</w:t>
      </w:r>
      <w:r w:rsidRPr="00742A87">
        <w:rPr>
          <w:rFonts w:eastAsia="Times New Roman" w:cs="Times New Roman"/>
          <w:szCs w:val="24"/>
          <w:vertAlign w:val="superscript"/>
        </w:rPr>
        <w:footnoteReference w:id="10"/>
      </w:r>
      <w:r>
        <w:rPr>
          <w:rFonts w:eastAsia="Times New Roman" w:cs="Times New Roman"/>
          <w:szCs w:val="24"/>
        </w:rPr>
        <w:t xml:space="preserve">  The district court determined</w:t>
      </w:r>
      <w:r w:rsidRPr="00742A87">
        <w:rPr>
          <w:rFonts w:eastAsia="Times New Roman" w:cs="Times New Roman"/>
          <w:szCs w:val="24"/>
        </w:rPr>
        <w:t xml:space="preserve"> that “the MBPM does not merely clarify or interpret the requirements in the regulation, but creates a new standard by specifying particular </w:t>
      </w:r>
      <w:r w:rsidRPr="00742A87">
        <w:rPr>
          <w:rFonts w:eastAsia="Times New Roman" w:cs="Times New Roman"/>
          <w:szCs w:val="24"/>
        </w:rPr>
        <w:lastRenderedPageBreak/>
        <w:t>items of information not provided for in the regulation.”</w:t>
      </w:r>
      <w:r w:rsidRPr="00742A87">
        <w:rPr>
          <w:rFonts w:eastAsia="Times New Roman" w:cs="Times New Roman"/>
          <w:szCs w:val="24"/>
          <w:vertAlign w:val="superscript"/>
        </w:rPr>
        <w:footnoteReference w:id="11"/>
      </w:r>
      <w:r w:rsidRPr="00742A87">
        <w:rPr>
          <w:rFonts w:eastAsia="Times New Roman" w:cs="Times New Roman"/>
          <w:szCs w:val="24"/>
        </w:rPr>
        <w:t xml:space="preserve">  The MBPM creates substantive requirements</w:t>
      </w:r>
      <w:r>
        <w:rPr>
          <w:rFonts w:eastAsia="Times New Roman" w:cs="Times New Roman"/>
          <w:szCs w:val="24"/>
        </w:rPr>
        <w:t xml:space="preserve"> that</w:t>
      </w:r>
      <w:r w:rsidRPr="00742A87">
        <w:rPr>
          <w:rFonts w:eastAsia="Times New Roman" w:cs="Times New Roman"/>
          <w:szCs w:val="24"/>
        </w:rPr>
        <w:t xml:space="preserve"> were not </w:t>
      </w:r>
      <w:r>
        <w:rPr>
          <w:rFonts w:eastAsia="Times New Roman" w:cs="Times New Roman"/>
          <w:szCs w:val="24"/>
        </w:rPr>
        <w:t xml:space="preserve">properly </w:t>
      </w:r>
      <w:r w:rsidRPr="00742A87">
        <w:rPr>
          <w:rFonts w:eastAsia="Times New Roman" w:cs="Times New Roman"/>
          <w:szCs w:val="24"/>
        </w:rPr>
        <w:t xml:space="preserve">issued through notice-and-comment rulemaking in </w:t>
      </w:r>
      <w:r>
        <w:rPr>
          <w:rFonts w:eastAsia="Times New Roman" w:cs="Times New Roman"/>
          <w:szCs w:val="24"/>
        </w:rPr>
        <w:t>accordance with</w:t>
      </w:r>
      <w:r w:rsidRPr="00742A87">
        <w:rPr>
          <w:rFonts w:eastAsia="Times New Roman" w:cs="Times New Roman"/>
          <w:szCs w:val="24"/>
        </w:rPr>
        <w:t xml:space="preserve"> the APA.  </w:t>
      </w:r>
      <w:r>
        <w:rPr>
          <w:rFonts w:eastAsia="Times New Roman" w:cs="Times New Roman"/>
          <w:szCs w:val="24"/>
        </w:rPr>
        <w:t xml:space="preserve">The </w:t>
      </w:r>
      <w:r>
        <w:rPr>
          <w:rFonts w:eastAsia="Times New Roman" w:cs="Times New Roman"/>
          <w:i/>
          <w:szCs w:val="24"/>
        </w:rPr>
        <w:t>Cumberland County</w:t>
      </w:r>
      <w:r>
        <w:rPr>
          <w:rFonts w:eastAsia="Times New Roman" w:cs="Times New Roman"/>
          <w:szCs w:val="24"/>
        </w:rPr>
        <w:t xml:space="preserve"> decision rested upon the APA and not the Medicare statute’s notice and comment requirements. </w:t>
      </w:r>
    </w:p>
    <w:p w:rsidR="00E01CC8" w:rsidRDefault="00E01CC8" w:rsidP="00E01CC8">
      <w:pPr>
        <w:ind w:right="18"/>
        <w:rPr>
          <w:rFonts w:cs="Times New Roman"/>
          <w:szCs w:val="24"/>
        </w:rPr>
      </w:pPr>
      <w:r>
        <w:rPr>
          <w:color w:val="000000"/>
        </w:rPr>
        <w:t>IRFs seeking to challenge additional IRF coverage criteria set forth only in the MBPM now have an additional</w:t>
      </w:r>
      <w:r>
        <w:rPr>
          <w:rStyle w:val="e24kjd"/>
          <w:rFonts w:cs="Times New Roman"/>
          <w:szCs w:val="24"/>
        </w:rPr>
        <w:t xml:space="preserve"> arrow in their quivers as a result of the Supreme Court’s decision.  </w:t>
      </w:r>
      <w:r>
        <w:rPr>
          <w:i/>
          <w:iCs/>
          <w:color w:val="000000"/>
        </w:rPr>
        <w:t>Allina Health Services</w:t>
      </w:r>
      <w:r>
        <w:rPr>
          <w:iCs/>
          <w:color w:val="000000"/>
        </w:rPr>
        <w:t>, however, i</w:t>
      </w:r>
      <w:r>
        <w:rPr>
          <w:rStyle w:val="e24kjd"/>
          <w:rFonts w:cs="Times New Roman"/>
          <w:szCs w:val="24"/>
        </w:rPr>
        <w:t xml:space="preserve">s not without limitation.  It is unclear how courts will interpret this landmark decision, given that the Court did not clearly define what policies affect a “substantive legal standard.”  It is also unclear whether Congress will react to the decision by amending the Medicare statute.  </w:t>
      </w:r>
    </w:p>
    <w:p w:rsidR="00E01CC8" w:rsidRDefault="00E01CC8" w:rsidP="00E01CC8">
      <w:pPr>
        <w:ind w:right="18"/>
        <w:rPr>
          <w:rStyle w:val="e24kjd"/>
          <w:rFonts w:cs="Times New Roman"/>
          <w:szCs w:val="24"/>
        </w:rPr>
      </w:pPr>
    </w:p>
    <w:p w:rsidR="00E01CC8" w:rsidRPr="000A512D" w:rsidRDefault="00E01CC8" w:rsidP="00E01CC8">
      <w:pPr>
        <w:spacing w:after="200"/>
        <w:rPr>
          <w:rFonts w:eastAsia="Times New Roman" w:cs="Times New Roman"/>
          <w:szCs w:val="24"/>
        </w:rPr>
      </w:pPr>
      <w:r>
        <w:rPr>
          <w:i/>
          <w:iCs/>
          <w:color w:val="000000"/>
        </w:rPr>
        <w:t>Allina Health Services</w:t>
      </w:r>
      <w:r>
        <w:rPr>
          <w:iCs/>
          <w:color w:val="000000"/>
        </w:rPr>
        <w:t xml:space="preserve"> </w:t>
      </w:r>
      <w:r>
        <w:rPr>
          <w:rFonts w:eastAsia="Times New Roman" w:cs="Times New Roman"/>
          <w:szCs w:val="24"/>
        </w:rPr>
        <w:t xml:space="preserve">paves the way for providers of rehabilitative services to challenge Medicare sub-regulatory guidance that has not gone through notice-and-comment rulemaking assuming that guidance affects a substantive right to payment for services and is not included in the Medicare statute or regulations.  We expect that providers of rehabilitative services will challenge several provisions of the MBPM in the coming years, assuming Congress does not act or CMS does not subject the MBPM to notice and comment to bring it into compliance with the Court’s decision in </w:t>
      </w:r>
      <w:r>
        <w:rPr>
          <w:rFonts w:eastAsia="Times New Roman" w:cs="Times New Roman"/>
          <w:i/>
          <w:szCs w:val="24"/>
        </w:rPr>
        <w:t xml:space="preserve">Allina.  </w:t>
      </w:r>
    </w:p>
    <w:p w:rsidR="00E01CC8" w:rsidRPr="00DE5BA2" w:rsidRDefault="00E01CC8" w:rsidP="00E01CC8">
      <w:pPr>
        <w:ind w:right="18"/>
        <w:rPr>
          <w:rFonts w:cs="Times New Roman"/>
          <w:szCs w:val="24"/>
        </w:rPr>
      </w:pPr>
    </w:p>
    <w:p w:rsidR="00947878" w:rsidRPr="00E01CC8" w:rsidRDefault="00947878" w:rsidP="00E01CC8"/>
    <w:sectPr w:rsidR="00947878" w:rsidRPr="00E01CC8" w:rsidSect="00762D8A">
      <w:headerReference w:type="default" r:id="rId8"/>
      <w:footerReference w:type="default" r:id="rId9"/>
      <w:headerReference w:type="first" r:id="rId10"/>
      <w:footerReference w:type="first" r:id="rId11"/>
      <w:pgSz w:w="12240" w:h="15840" w:code="1"/>
      <w:pgMar w:top="1152" w:right="1296" w:bottom="720" w:left="1296" w:header="720" w:footer="288"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283" w:rsidRDefault="009B6283" w:rsidP="00F90E79">
      <w:r>
        <w:separator/>
      </w:r>
    </w:p>
  </w:endnote>
  <w:endnote w:type="continuationSeparator" w:id="0">
    <w:p w:rsidR="009B6283" w:rsidRDefault="009B6283" w:rsidP="00F90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644" w:rsidRPr="00340478" w:rsidRDefault="009B6283" w:rsidP="00762D8A">
    <w:pPr>
      <w:pStyle w:val="Footer"/>
      <w:jc w:val="center"/>
    </w:pPr>
    <w:sdt>
      <w:sdtPr>
        <w:id w:val="-462039555"/>
        <w:docPartObj>
          <w:docPartGallery w:val="Page Numbers (Bottom of Page)"/>
          <w:docPartUnique/>
        </w:docPartObj>
      </w:sdtPr>
      <w:sdtEndPr>
        <w:rPr>
          <w:noProof/>
        </w:rPr>
      </w:sdtEndPr>
      <w:sdtContent>
        <w:r w:rsidR="00F90E79" w:rsidRPr="00340478">
          <w:fldChar w:fldCharType="begin"/>
        </w:r>
        <w:r w:rsidR="00D754AA" w:rsidRPr="00340478">
          <w:instrText xml:space="preserve"> PAGE   \* MERGEFORMAT </w:instrText>
        </w:r>
        <w:r w:rsidR="00F90E79" w:rsidRPr="00340478">
          <w:fldChar w:fldCharType="separate"/>
        </w:r>
        <w:r w:rsidR="00350374">
          <w:rPr>
            <w:noProof/>
          </w:rPr>
          <w:t>2</w:t>
        </w:r>
        <w:r w:rsidR="00F90E79" w:rsidRPr="00340478">
          <w:fldChar w:fldCharType="end"/>
        </w:r>
      </w:sdtContent>
    </w:sdt>
  </w:p>
  <w:p w:rsidR="004A61A2" w:rsidRPr="004A61A2" w:rsidRDefault="004A61A2" w:rsidP="004A61A2">
    <w:pPr>
      <w:pStyle w:val="Footer"/>
      <w:ind w:left="-540" w:right="-360"/>
      <w:jc w:val="center"/>
      <w:rPr>
        <w:rFonts w:ascii="Corbel" w:hAnsi="Corbel" w:cs="Arial"/>
        <w:color w:val="365F91"/>
        <w:sz w:val="18"/>
        <w:u w:val="single"/>
      </w:rPr>
    </w:pPr>
    <w:r w:rsidRPr="004A61A2">
      <w:rPr>
        <w:rFonts w:ascii="Corbel" w:hAnsi="Corbel" w:cs="Arial"/>
        <w:color w:val="365F91"/>
        <w:sz w:val="18"/>
        <w:u w:val="single"/>
      </w:rPr>
      <w:t>____________________________________________________________________________________________________________________</w:t>
    </w:r>
  </w:p>
  <w:p w:rsidR="004A61A2" w:rsidRPr="00340478" w:rsidRDefault="004A61A2" w:rsidP="003F3909">
    <w:pPr>
      <w:pStyle w:val="Footer"/>
      <w:ind w:right="-360"/>
      <w:rPr>
        <w:rFonts w:ascii="Corbel" w:hAnsi="Corbel" w:cs="Arial"/>
        <w:color w:val="365F91"/>
        <w:sz w:val="18"/>
      </w:rPr>
    </w:pPr>
  </w:p>
  <w:p w:rsidR="004A61A2" w:rsidRPr="00340478" w:rsidRDefault="00971557" w:rsidP="00971557">
    <w:pPr>
      <w:pStyle w:val="Footer"/>
      <w:ind w:left="-540" w:right="-360"/>
      <w:rPr>
        <w:rFonts w:ascii="Corbel" w:hAnsi="Corbel" w:cs="Arial"/>
        <w:color w:val="365F91"/>
        <w:sz w:val="18"/>
      </w:rPr>
    </w:pPr>
    <w:r>
      <w:rPr>
        <w:rFonts w:ascii="Corbel" w:hAnsi="Corbel" w:cs="Arial"/>
        <w:color w:val="365F91"/>
        <w:sz w:val="18"/>
      </w:rPr>
      <w:t xml:space="preserve">  </w:t>
    </w:r>
    <w:r w:rsidR="004A61A2" w:rsidRPr="00340478">
      <w:rPr>
        <w:rFonts w:ascii="Corbel" w:hAnsi="Corbel" w:cs="Arial"/>
        <w:color w:val="365F91"/>
        <w:sz w:val="18"/>
      </w:rPr>
      <w:t xml:space="preserve">1501 M STREET, NW   </w:t>
    </w:r>
    <w:r w:rsidR="004A61A2" w:rsidRPr="00340478">
      <w:rPr>
        <w:rFonts w:ascii="Corbel" w:hAnsi="Corbel" w:cs="Arial"/>
        <w:sz w:val="18"/>
      </w:rPr>
      <w:sym w:font="Wingdings" w:char="F06E"/>
    </w:r>
    <w:r w:rsidR="004A61A2" w:rsidRPr="00340478">
      <w:rPr>
        <w:rFonts w:ascii="Corbel" w:hAnsi="Corbel" w:cs="Arial"/>
        <w:color w:val="365F91"/>
        <w:sz w:val="18"/>
      </w:rPr>
      <w:t xml:space="preserve">   SEVENTH FLOOR   </w:t>
    </w:r>
    <w:r w:rsidR="004A61A2" w:rsidRPr="00340478">
      <w:rPr>
        <w:rFonts w:ascii="Corbel" w:hAnsi="Corbel" w:cs="Arial"/>
        <w:sz w:val="18"/>
      </w:rPr>
      <w:sym w:font="Wingdings" w:char="F06E"/>
    </w:r>
    <w:r w:rsidR="004A61A2" w:rsidRPr="00340478">
      <w:rPr>
        <w:rFonts w:ascii="Corbel" w:hAnsi="Corbel" w:cs="Arial"/>
        <w:color w:val="365F91"/>
        <w:sz w:val="18"/>
      </w:rPr>
      <w:t xml:space="preserve">   WASHINGTON DC  20005   </w:t>
    </w:r>
    <w:r w:rsidR="004A61A2" w:rsidRPr="00340478">
      <w:rPr>
        <w:rFonts w:ascii="Corbel" w:hAnsi="Corbel" w:cs="Arial"/>
        <w:sz w:val="18"/>
      </w:rPr>
      <w:sym w:font="Wingdings" w:char="F06E"/>
    </w:r>
    <w:r w:rsidR="004A61A2" w:rsidRPr="00340478">
      <w:rPr>
        <w:rFonts w:ascii="Corbel" w:hAnsi="Corbel" w:cs="Arial"/>
        <w:color w:val="365F91"/>
        <w:sz w:val="18"/>
      </w:rPr>
      <w:t xml:space="preserve">   PH 202.466.6550 </w:t>
    </w:r>
    <w:r w:rsidR="004A61A2" w:rsidRPr="00340478">
      <w:rPr>
        <w:rFonts w:ascii="Corbel" w:hAnsi="Corbel" w:cs="Arial"/>
        <w:sz w:val="18"/>
      </w:rPr>
      <w:sym w:font="Wingdings" w:char="F06E"/>
    </w:r>
    <w:r w:rsidR="004A61A2" w:rsidRPr="00340478">
      <w:rPr>
        <w:rFonts w:ascii="Corbel" w:hAnsi="Corbel" w:cs="Arial"/>
        <w:color w:val="365F91"/>
        <w:sz w:val="18"/>
      </w:rPr>
      <w:t xml:space="preserve">   FX 202.785.1756    </w:t>
    </w:r>
    <w:r w:rsidR="004A61A2" w:rsidRPr="00340478">
      <w:rPr>
        <w:rFonts w:ascii="Corbel" w:hAnsi="Corbel" w:cs="Arial"/>
        <w:sz w:val="18"/>
      </w:rPr>
      <w:sym w:font="Wingdings" w:char="F06E"/>
    </w:r>
    <w:r w:rsidR="004A61A2" w:rsidRPr="00340478">
      <w:rPr>
        <w:rFonts w:ascii="Corbel" w:hAnsi="Corbel" w:cs="Arial"/>
        <w:color w:val="365F91"/>
        <w:sz w:val="18"/>
      </w:rPr>
      <w:t xml:space="preserve">   WWW.PPSV.COM</w:t>
    </w:r>
  </w:p>
  <w:p w:rsidR="00160644" w:rsidRPr="00340478" w:rsidRDefault="009B6283" w:rsidP="004A61A2">
    <w:pPr>
      <w:pStyle w:val="Footer"/>
      <w:ind w:left="-540" w:right="-360"/>
      <w:rPr>
        <w:rFonts w:ascii="Corbel" w:hAnsi="Corbel" w:cs="Arial"/>
        <w:color w:val="365F91"/>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8058398"/>
      <w:docPartObj>
        <w:docPartGallery w:val="Page Numbers (Bottom of Page)"/>
        <w:docPartUnique/>
      </w:docPartObj>
    </w:sdtPr>
    <w:sdtEndPr>
      <w:rPr>
        <w:noProof/>
      </w:rPr>
    </w:sdtEndPr>
    <w:sdtContent>
      <w:p w:rsidR="00160644" w:rsidRPr="00340478" w:rsidRDefault="00F90E79" w:rsidP="004A61A2">
        <w:pPr>
          <w:pStyle w:val="Footer"/>
          <w:jc w:val="center"/>
        </w:pPr>
        <w:r w:rsidRPr="00340478">
          <w:fldChar w:fldCharType="begin"/>
        </w:r>
        <w:r w:rsidR="00D754AA" w:rsidRPr="00340478">
          <w:instrText xml:space="preserve"> PAGE   \* MERGEFORMAT </w:instrText>
        </w:r>
        <w:r w:rsidRPr="00340478">
          <w:fldChar w:fldCharType="separate"/>
        </w:r>
        <w:r w:rsidR="00350374">
          <w:rPr>
            <w:noProof/>
          </w:rPr>
          <w:t>1</w:t>
        </w:r>
        <w:r w:rsidRPr="00340478">
          <w:fldChar w:fldCharType="end"/>
        </w:r>
      </w:p>
    </w:sdtContent>
  </w:sdt>
  <w:p w:rsidR="004A61A2" w:rsidRPr="004A61A2" w:rsidRDefault="004A61A2" w:rsidP="004A61A2">
    <w:pPr>
      <w:pStyle w:val="Footer"/>
      <w:ind w:left="-540" w:right="-360"/>
      <w:jc w:val="center"/>
      <w:rPr>
        <w:rFonts w:ascii="Corbel" w:hAnsi="Corbel" w:cs="Arial"/>
        <w:color w:val="365F91"/>
        <w:sz w:val="18"/>
        <w:u w:val="single"/>
      </w:rPr>
    </w:pPr>
    <w:r>
      <w:rPr>
        <w:rFonts w:ascii="Corbel" w:hAnsi="Corbel" w:cs="Arial"/>
        <w:color w:val="365F91"/>
        <w:sz w:val="18"/>
      </w:rPr>
      <w:t xml:space="preserve"> </w:t>
    </w:r>
    <w:r w:rsidR="001F636F">
      <w:rPr>
        <w:rFonts w:ascii="Corbel" w:hAnsi="Corbel" w:cs="Arial"/>
        <w:color w:val="365F91"/>
        <w:sz w:val="18"/>
      </w:rPr>
      <w:t xml:space="preserve">   </w:t>
    </w:r>
    <w:r>
      <w:rPr>
        <w:rFonts w:ascii="Corbel" w:hAnsi="Corbel" w:cs="Arial"/>
        <w:color w:val="365F91"/>
        <w:sz w:val="18"/>
      </w:rPr>
      <w:t xml:space="preserve"> </w:t>
    </w:r>
    <w:r w:rsidRPr="004A61A2">
      <w:rPr>
        <w:rFonts w:ascii="Corbel" w:hAnsi="Corbel" w:cs="Arial"/>
        <w:color w:val="365F91"/>
        <w:sz w:val="18"/>
        <w:u w:val="single"/>
      </w:rPr>
      <w:t xml:space="preserve"> ____________________________________________________________________________________________________________________</w:t>
    </w:r>
  </w:p>
  <w:p w:rsidR="004A61A2" w:rsidRPr="00340478" w:rsidRDefault="004A61A2" w:rsidP="0011534B">
    <w:pPr>
      <w:pStyle w:val="Footer"/>
      <w:ind w:left="-540" w:right="-360"/>
      <w:jc w:val="center"/>
      <w:rPr>
        <w:rFonts w:ascii="Corbel" w:hAnsi="Corbel" w:cs="Arial"/>
        <w:color w:val="365F91"/>
        <w:sz w:val="18"/>
      </w:rPr>
    </w:pPr>
  </w:p>
  <w:p w:rsidR="00160644" w:rsidRPr="00340478" w:rsidRDefault="004A61A2" w:rsidP="00CA43F1">
    <w:pPr>
      <w:pStyle w:val="Footer"/>
      <w:ind w:left="-540" w:right="-360"/>
      <w:jc w:val="center"/>
      <w:rPr>
        <w:rFonts w:ascii="Corbel" w:hAnsi="Corbel" w:cs="Arial"/>
        <w:color w:val="365F91"/>
        <w:sz w:val="18"/>
      </w:rPr>
    </w:pPr>
    <w:r>
      <w:rPr>
        <w:rFonts w:ascii="Corbel" w:hAnsi="Corbel" w:cs="Arial"/>
        <w:color w:val="365F91"/>
        <w:sz w:val="18"/>
      </w:rPr>
      <w:t xml:space="preserve">    </w:t>
    </w:r>
    <w:r w:rsidR="00D754AA" w:rsidRPr="00340478">
      <w:rPr>
        <w:rFonts w:ascii="Corbel" w:hAnsi="Corbel" w:cs="Arial"/>
        <w:color w:val="365F91"/>
        <w:sz w:val="18"/>
      </w:rPr>
      <w:t xml:space="preserve">1501 M STREET, NW   </w:t>
    </w:r>
    <w:r w:rsidR="00D754AA" w:rsidRPr="00340478">
      <w:rPr>
        <w:rFonts w:ascii="Corbel" w:hAnsi="Corbel" w:cs="Arial"/>
        <w:sz w:val="18"/>
      </w:rPr>
      <w:sym w:font="Wingdings" w:char="F06E"/>
    </w:r>
    <w:r w:rsidR="00D754AA" w:rsidRPr="00340478">
      <w:rPr>
        <w:rFonts w:ascii="Corbel" w:hAnsi="Corbel" w:cs="Arial"/>
        <w:color w:val="365F91"/>
        <w:sz w:val="18"/>
      </w:rPr>
      <w:t xml:space="preserve">   SEVENTH FLOOR   </w:t>
    </w:r>
    <w:r w:rsidR="00D754AA" w:rsidRPr="00340478">
      <w:rPr>
        <w:rFonts w:ascii="Corbel" w:hAnsi="Corbel" w:cs="Arial"/>
        <w:sz w:val="18"/>
      </w:rPr>
      <w:sym w:font="Wingdings" w:char="F06E"/>
    </w:r>
    <w:r w:rsidR="00D754AA" w:rsidRPr="00340478">
      <w:rPr>
        <w:rFonts w:ascii="Corbel" w:hAnsi="Corbel" w:cs="Arial"/>
        <w:color w:val="365F91"/>
        <w:sz w:val="18"/>
      </w:rPr>
      <w:t xml:space="preserve">   WASHINGTON DC  20005   </w:t>
    </w:r>
    <w:r w:rsidR="00D754AA" w:rsidRPr="00340478">
      <w:rPr>
        <w:rFonts w:ascii="Corbel" w:hAnsi="Corbel" w:cs="Arial"/>
        <w:sz w:val="18"/>
      </w:rPr>
      <w:sym w:font="Wingdings" w:char="F06E"/>
    </w:r>
    <w:r w:rsidR="00D754AA" w:rsidRPr="00340478">
      <w:rPr>
        <w:rFonts w:ascii="Corbel" w:hAnsi="Corbel" w:cs="Arial"/>
        <w:color w:val="365F91"/>
        <w:sz w:val="18"/>
      </w:rPr>
      <w:t xml:space="preserve">   PH 202.466.6550 </w:t>
    </w:r>
    <w:r w:rsidR="00D754AA" w:rsidRPr="00340478">
      <w:rPr>
        <w:rFonts w:ascii="Corbel" w:hAnsi="Corbel" w:cs="Arial"/>
        <w:sz w:val="18"/>
      </w:rPr>
      <w:sym w:font="Wingdings" w:char="F06E"/>
    </w:r>
    <w:r w:rsidR="00D754AA" w:rsidRPr="00340478">
      <w:rPr>
        <w:rFonts w:ascii="Corbel" w:hAnsi="Corbel" w:cs="Arial"/>
        <w:color w:val="365F91"/>
        <w:sz w:val="18"/>
      </w:rPr>
      <w:t xml:space="preserve">   FX 202.785.1756    </w:t>
    </w:r>
    <w:r w:rsidR="00D754AA" w:rsidRPr="00340478">
      <w:rPr>
        <w:rFonts w:ascii="Corbel" w:hAnsi="Corbel" w:cs="Arial"/>
        <w:sz w:val="18"/>
      </w:rPr>
      <w:sym w:font="Wingdings" w:char="F06E"/>
    </w:r>
    <w:r w:rsidR="00D754AA" w:rsidRPr="00340478">
      <w:rPr>
        <w:rFonts w:ascii="Corbel" w:hAnsi="Corbel" w:cs="Arial"/>
        <w:color w:val="365F91"/>
        <w:sz w:val="18"/>
      </w:rPr>
      <w:t xml:space="preserve">   WWW.PPSV.COM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283" w:rsidRDefault="009B6283" w:rsidP="00F90E79">
      <w:pPr>
        <w:rPr>
          <w:noProof/>
        </w:rPr>
      </w:pPr>
      <w:r>
        <w:rPr>
          <w:noProof/>
        </w:rPr>
        <w:separator/>
      </w:r>
    </w:p>
  </w:footnote>
  <w:footnote w:type="continuationSeparator" w:id="0">
    <w:p w:rsidR="009B6283" w:rsidRDefault="009B6283" w:rsidP="00F90E79">
      <w:r>
        <w:continuationSeparator/>
      </w:r>
    </w:p>
  </w:footnote>
  <w:footnote w:id="1">
    <w:p w:rsidR="00E01CC8" w:rsidRPr="002B1391" w:rsidRDefault="00E01CC8" w:rsidP="00E01CC8">
      <w:pPr>
        <w:pStyle w:val="FootnoteText"/>
      </w:pPr>
      <w:r w:rsidRPr="002B1391">
        <w:rPr>
          <w:rStyle w:val="FootnoteReference"/>
        </w:rPr>
        <w:footnoteRef/>
      </w:r>
      <w:r w:rsidRPr="002B1391">
        <w:t xml:space="preserve"> </w:t>
      </w:r>
      <w:r w:rsidRPr="002B1391">
        <w:rPr>
          <w:i/>
        </w:rPr>
        <w:t>Azar v. Allina Health Servs.</w:t>
      </w:r>
      <w:r w:rsidRPr="002B1391">
        <w:t>, 139 S. Ct. 1804 (2019)</w:t>
      </w:r>
      <w:r>
        <w:t xml:space="preserve">.  Justice Stephen Breyer dissented, and Justice Brett Kavanaugh took no part in this decision because he authored the lower court’s decision in this case.  </w:t>
      </w:r>
    </w:p>
  </w:footnote>
  <w:footnote w:id="2">
    <w:p w:rsidR="00E01CC8" w:rsidRDefault="00E01CC8" w:rsidP="00E01CC8">
      <w:pPr>
        <w:pStyle w:val="FootnoteText"/>
      </w:pPr>
      <w:r>
        <w:rPr>
          <w:rStyle w:val="FootnoteReference"/>
        </w:rPr>
        <w:footnoteRef/>
      </w:r>
      <w:r>
        <w:t xml:space="preserve"> Medicare Program; Changes to the Hospital Inpatient Prospective Payment Systems and Fiscal Year 2005 Rates, </w:t>
      </w:r>
      <w:r w:rsidRPr="00BD58AE">
        <w:t>69 Fed. Reg. 48</w:t>
      </w:r>
      <w:r>
        <w:t>,</w:t>
      </w:r>
      <w:r w:rsidRPr="00BD58AE">
        <w:t>916, 49</w:t>
      </w:r>
      <w:r>
        <w:t xml:space="preserve">,099 (Aug. 11, 2004).  </w:t>
      </w:r>
    </w:p>
  </w:footnote>
  <w:footnote w:id="3">
    <w:p w:rsidR="00E01CC8" w:rsidRDefault="00E01CC8" w:rsidP="00E01CC8">
      <w:pPr>
        <w:pStyle w:val="FootnoteText"/>
      </w:pPr>
      <w:r>
        <w:rPr>
          <w:rStyle w:val="FootnoteReference"/>
        </w:rPr>
        <w:footnoteRef/>
      </w:r>
      <w:r>
        <w:t xml:space="preserve"> </w:t>
      </w:r>
      <w:r w:rsidRPr="00BA4FD6">
        <w:rPr>
          <w:rFonts w:eastAsia="Times New Roman"/>
          <w:i/>
          <w:szCs w:val="24"/>
        </w:rPr>
        <w:t>Allina Health Services v. Sebelius</w:t>
      </w:r>
      <w:r w:rsidRPr="00BA4FD6">
        <w:rPr>
          <w:rFonts w:eastAsia="Times New Roman"/>
          <w:szCs w:val="24"/>
        </w:rPr>
        <w:t>, 746 F.3d 1102 (D.C. Cir. 2014).</w:t>
      </w:r>
      <w:r w:rsidRPr="00BA4FD6">
        <w:rPr>
          <w:color w:val="000000"/>
        </w:rPr>
        <w:t xml:space="preserve">  </w:t>
      </w:r>
    </w:p>
  </w:footnote>
  <w:footnote w:id="4">
    <w:p w:rsidR="00E01CC8" w:rsidRDefault="00E01CC8" w:rsidP="00E01CC8">
      <w:pPr>
        <w:pStyle w:val="FootnoteText"/>
      </w:pPr>
      <w:r>
        <w:rPr>
          <w:rStyle w:val="FootnoteReference"/>
        </w:rPr>
        <w:footnoteRef/>
      </w:r>
      <w:r>
        <w:t xml:space="preserve"> </w:t>
      </w:r>
      <w:r w:rsidRPr="002B1391">
        <w:rPr>
          <w:rFonts w:eastAsia="Times New Roman" w:cs="Times New Roman"/>
          <w:color w:val="000000"/>
          <w:szCs w:val="24"/>
        </w:rPr>
        <w:t>42 U.S.</w:t>
      </w:r>
      <w:r>
        <w:rPr>
          <w:rFonts w:eastAsia="Times New Roman" w:cs="Times New Roman"/>
          <w:color w:val="000000"/>
          <w:szCs w:val="24"/>
        </w:rPr>
        <w:t>C. § 1395hh(a</w:t>
      </w:r>
      <w:r w:rsidRPr="002B1391">
        <w:rPr>
          <w:rFonts w:eastAsia="Times New Roman" w:cs="Times New Roman"/>
          <w:color w:val="000000"/>
          <w:szCs w:val="24"/>
        </w:rPr>
        <w:t>)</w:t>
      </w:r>
      <w:r>
        <w:rPr>
          <w:rFonts w:eastAsia="Times New Roman" w:cs="Times New Roman"/>
          <w:color w:val="000000"/>
          <w:szCs w:val="24"/>
        </w:rPr>
        <w:t xml:space="preserve">(2).  </w:t>
      </w:r>
    </w:p>
  </w:footnote>
  <w:footnote w:id="5">
    <w:p w:rsidR="00E01CC8" w:rsidRDefault="00E01CC8" w:rsidP="00E01CC8">
      <w:pPr>
        <w:pStyle w:val="FootnoteText"/>
      </w:pPr>
      <w:r>
        <w:rPr>
          <w:rStyle w:val="FootnoteReference"/>
        </w:rPr>
        <w:footnoteRef/>
      </w:r>
      <w:r>
        <w:t xml:space="preserve"> 5 U.S.C. § 553(b)(A).  </w:t>
      </w:r>
    </w:p>
  </w:footnote>
  <w:footnote w:id="6">
    <w:p w:rsidR="00E01CC8" w:rsidRDefault="00E01CC8" w:rsidP="00E01CC8">
      <w:pPr>
        <w:pStyle w:val="FootnoteText"/>
      </w:pPr>
      <w:r>
        <w:rPr>
          <w:rStyle w:val="FootnoteReference"/>
        </w:rPr>
        <w:footnoteRef/>
      </w:r>
      <w:r>
        <w:t xml:space="preserve"> The Supreme Court’s decision does not govern the treatment of Part C days for cost reporting periods that are entirely after October 1, 2014 because </w:t>
      </w:r>
      <w:r w:rsidRPr="00126C3B">
        <w:rPr>
          <w:color w:val="000000"/>
        </w:rPr>
        <w:t xml:space="preserve">CMS </w:t>
      </w:r>
      <w:r>
        <w:t xml:space="preserve">promulgated a new rule, using notice-and-comment procedures, that provides for inclusion of Part C days in the Medicare/SSI fraction, effective October 1, 2014.  Hospital Inpatient Prospective Payment System for Acute Care Hospitals and the Long-Term Care Hospital Prospective Payment System and Fiscal Year 2014 Rates; Quality Reporting Requirements for Specific Providers; Hospital Conditions of Participating; Payment Policies Related to Patient Status, 78 Fed. Reg. 50,495, </w:t>
      </w:r>
      <w:r>
        <w:rPr>
          <w:rStyle w:val="text"/>
        </w:rPr>
        <w:t>50,620 (Aug. 19, 2013). </w:t>
      </w:r>
    </w:p>
  </w:footnote>
  <w:footnote w:id="7">
    <w:p w:rsidR="00E01CC8" w:rsidRDefault="00E01CC8" w:rsidP="00E01CC8">
      <w:pPr>
        <w:pStyle w:val="FootnoteText"/>
      </w:pPr>
      <w:r>
        <w:rPr>
          <w:rStyle w:val="FootnoteReference"/>
        </w:rPr>
        <w:footnoteRef/>
      </w:r>
      <w:r>
        <w:t xml:space="preserve"> MBPM, Pub. 100-02, Ch. 1, § 110. </w:t>
      </w:r>
    </w:p>
  </w:footnote>
  <w:footnote w:id="8">
    <w:p w:rsidR="00E01CC8" w:rsidRDefault="00E01CC8" w:rsidP="00E01CC8">
      <w:pPr>
        <w:pStyle w:val="FootnoteText"/>
      </w:pPr>
      <w:r>
        <w:rPr>
          <w:rStyle w:val="FootnoteReference"/>
        </w:rPr>
        <w:footnoteRef/>
      </w:r>
      <w:r>
        <w:t xml:space="preserve"> </w:t>
      </w:r>
      <w:r w:rsidRPr="005613C4">
        <w:rPr>
          <w:i/>
        </w:rPr>
        <w:t>Id</w:t>
      </w:r>
      <w:r>
        <w:t>. § 110.1.1.</w:t>
      </w:r>
    </w:p>
  </w:footnote>
  <w:footnote w:id="9">
    <w:p w:rsidR="00E01CC8" w:rsidRDefault="00E01CC8" w:rsidP="00E01CC8">
      <w:pPr>
        <w:pStyle w:val="FootnoteText"/>
      </w:pPr>
      <w:r>
        <w:rPr>
          <w:rStyle w:val="FootnoteReference"/>
        </w:rPr>
        <w:footnoteRef/>
      </w:r>
      <w:r>
        <w:t xml:space="preserve"> </w:t>
      </w:r>
      <w:r w:rsidRPr="00362D1D">
        <w:rPr>
          <w:i/>
        </w:rPr>
        <w:t>Id</w:t>
      </w:r>
      <w:r>
        <w:t>.</w:t>
      </w:r>
    </w:p>
  </w:footnote>
  <w:footnote w:id="10">
    <w:p w:rsidR="00E01CC8" w:rsidRPr="008943D0" w:rsidRDefault="00E01CC8" w:rsidP="00E01CC8">
      <w:pPr>
        <w:pStyle w:val="FootnoteText"/>
      </w:pPr>
      <w:r w:rsidRPr="003C6712">
        <w:rPr>
          <w:rStyle w:val="FootnoteReference"/>
        </w:rPr>
        <w:footnoteRef/>
      </w:r>
      <w:r w:rsidRPr="003C6712">
        <w:t xml:space="preserve"> </w:t>
      </w:r>
      <w:r w:rsidRPr="003C6712">
        <w:rPr>
          <w:i/>
        </w:rPr>
        <w:t>Cumberland Cty. Hosp. Sys., Inc. v. Price</w:t>
      </w:r>
      <w:r w:rsidRPr="007262FD">
        <w:t>, No. 15-CV-319, 2017 WL 1048102, at *13 (E.D.N.C. Mar. 1, 2017),</w:t>
      </w:r>
      <w:r w:rsidRPr="00717D05">
        <w:t xml:space="preserve"> </w:t>
      </w:r>
      <w:r w:rsidRPr="00396C4B">
        <w:rPr>
          <w:i/>
        </w:rPr>
        <w:t>report and recommendation adopted by</w:t>
      </w:r>
      <w:r w:rsidRPr="003C6712">
        <w:t xml:space="preserve">, </w:t>
      </w:r>
      <w:r w:rsidRPr="007262FD">
        <w:t>No. 5:15-CV-319-D, 2017 WL 1049476 (E.D.</w:t>
      </w:r>
      <w:r w:rsidRPr="00FA14F9">
        <w:t xml:space="preserve">N.C. Mar. 17, 2017).  </w:t>
      </w:r>
      <w:r w:rsidRPr="003C6712">
        <w:t>This case specifically</w:t>
      </w:r>
      <w:r>
        <w:t xml:space="preserve"> concerned</w:t>
      </w:r>
      <w:r w:rsidRPr="003C6712">
        <w:t xml:space="preserve"> the requirements for the preadmission screening contained in the MBPM but not in</w:t>
      </w:r>
      <w:r>
        <w:t xml:space="preserve"> the regulation.  However, </w:t>
      </w:r>
      <w:r w:rsidRPr="003C6712">
        <w:t xml:space="preserve">the court’s reasoning </w:t>
      </w:r>
      <w:r>
        <w:t>can be applied</w:t>
      </w:r>
      <w:r w:rsidRPr="003C6712">
        <w:t xml:space="preserve"> to </w:t>
      </w:r>
      <w:r>
        <w:t>other MBPM standards</w:t>
      </w:r>
      <w:r w:rsidRPr="003C6712">
        <w:t xml:space="preserve"> that are not stated </w:t>
      </w:r>
      <w:r w:rsidRPr="00FA14F9">
        <w:t>in the</w:t>
      </w:r>
      <w:r>
        <w:t xml:space="preserve"> Medicare</w:t>
      </w:r>
      <w:r w:rsidRPr="00FA14F9">
        <w:t xml:space="preserve"> regulation.</w:t>
      </w:r>
    </w:p>
  </w:footnote>
  <w:footnote w:id="11">
    <w:p w:rsidR="00E01CC8" w:rsidRPr="006536E8" w:rsidRDefault="00E01CC8" w:rsidP="00E01CC8">
      <w:pPr>
        <w:pStyle w:val="FootnoteText"/>
      </w:pPr>
      <w:r w:rsidRPr="000028CF">
        <w:rPr>
          <w:rStyle w:val="FootnoteReference"/>
        </w:rPr>
        <w:footnoteRef/>
      </w:r>
      <w:r w:rsidRPr="000028CF">
        <w:t xml:space="preserve"> </w:t>
      </w:r>
      <w:r w:rsidRPr="00F8401F">
        <w:rPr>
          <w:i/>
        </w:rPr>
        <w:t>Id.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644" w:rsidRPr="00D604AE" w:rsidRDefault="00D754AA">
    <w:pPr>
      <w:pStyle w:val="Header"/>
      <w:rPr>
        <w:rFonts w:ascii="Calibri" w:hAnsi="Calibri" w:cs="Calibri"/>
        <w:sz w:val="26"/>
        <w:szCs w:val="26"/>
      </w:rPr>
    </w:pPr>
    <w:r>
      <w:rPr>
        <w:rFonts w:ascii="Calibri" w:hAnsi="Calibri" w:cs="Calibri"/>
        <w:noProof/>
        <w:sz w:val="26"/>
        <w:szCs w:val="26"/>
      </w:rPr>
      <w:drawing>
        <wp:anchor distT="0" distB="0" distL="114300" distR="114300" simplePos="0" relativeHeight="251660288" behindDoc="0" locked="0" layoutInCell="1" allowOverlap="1" wp14:anchorId="58C04EA5" wp14:editId="64960008">
          <wp:simplePos x="0" y="0"/>
          <wp:positionH relativeFrom="column">
            <wp:posOffset>-416560</wp:posOffset>
          </wp:positionH>
          <wp:positionV relativeFrom="page">
            <wp:posOffset>354965</wp:posOffset>
          </wp:positionV>
          <wp:extent cx="1739900" cy="511810"/>
          <wp:effectExtent l="0" t="0" r="0" b="2540"/>
          <wp:wrapNone/>
          <wp:docPr id="1" name="Picture 1"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9900" cy="511810"/>
                  </a:xfrm>
                  <a:prstGeom prst="rect">
                    <a:avLst/>
                  </a:prstGeom>
                  <a:noFill/>
                  <a:ln>
                    <a:noFill/>
                  </a:ln>
                </pic:spPr>
              </pic:pic>
            </a:graphicData>
          </a:graphic>
        </wp:anchor>
      </w:drawing>
    </w:r>
  </w:p>
  <w:p w:rsidR="00160644" w:rsidRDefault="009B6283" w:rsidP="00D64641">
    <w:pPr>
      <w:pStyle w:val="Header"/>
      <w:rPr>
        <w:rFonts w:ascii="Calibri" w:hAnsi="Calibri" w:cs="Calibri"/>
        <w:szCs w:val="24"/>
      </w:rPr>
    </w:pPr>
  </w:p>
  <w:p w:rsidR="00160644" w:rsidRPr="002F7B6C" w:rsidRDefault="009B6283">
    <w:pPr>
      <w:pStyle w:val="Header"/>
      <w:rPr>
        <w:sz w:val="26"/>
        <w:szCs w:val="2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0644" w:rsidRDefault="009B6283" w:rsidP="00D64641">
    <w:pPr>
      <w:pStyle w:val="Header"/>
      <w:jc w:val="center"/>
    </w:pPr>
  </w:p>
  <w:p w:rsidR="00160644" w:rsidRDefault="009B6283" w:rsidP="00D64641">
    <w:pPr>
      <w:pStyle w:val="Header"/>
      <w:jc w:val="center"/>
    </w:pPr>
  </w:p>
  <w:p w:rsidR="00160644" w:rsidRDefault="009B6283" w:rsidP="00D64641">
    <w:pPr>
      <w:pStyle w:val="Header"/>
      <w:jc w:val="center"/>
    </w:pPr>
  </w:p>
  <w:p w:rsidR="00D42DC4" w:rsidRDefault="00D42DC4" w:rsidP="00680092">
    <w:pPr>
      <w:pStyle w:val="Header"/>
    </w:pPr>
  </w:p>
  <w:p w:rsidR="00160644" w:rsidRDefault="00D754AA" w:rsidP="00680092">
    <w:pPr>
      <w:pStyle w:val="Header"/>
    </w:pPr>
    <w:r>
      <w:rPr>
        <w:noProof/>
      </w:rPr>
      <w:drawing>
        <wp:anchor distT="0" distB="0" distL="114300" distR="114300" simplePos="0" relativeHeight="251659264" behindDoc="0" locked="0" layoutInCell="1" allowOverlap="1" wp14:anchorId="698C28EB" wp14:editId="410A9C6F">
          <wp:simplePos x="0" y="0"/>
          <wp:positionH relativeFrom="column">
            <wp:posOffset>1927860</wp:posOffset>
          </wp:positionH>
          <wp:positionV relativeFrom="page">
            <wp:posOffset>457200</wp:posOffset>
          </wp:positionV>
          <wp:extent cx="2218690" cy="652145"/>
          <wp:effectExtent l="0" t="0" r="0" b="0"/>
          <wp:wrapNone/>
          <wp:docPr id="2" name="Picture 2" descr="C:\Users\Elizabeth.Overton\AppData\Local\Microsoft\Windows\Temporary Internet Files\Content.Word\PPSV Logo-2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lizabeth.Overton\AppData\Local\Microsoft\Windows\Temporary Internet Files\Content.Word\PPSV Logo-280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65214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311743"/>
    <w:multiLevelType w:val="hybridMultilevel"/>
    <w:tmpl w:val="E92CCE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54772"/>
    <w:multiLevelType w:val="hybridMultilevel"/>
    <w:tmpl w:val="341EC3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0BF247A"/>
    <w:multiLevelType w:val="hybridMultilevel"/>
    <w:tmpl w:val="2708E02C"/>
    <w:lvl w:ilvl="0" w:tplc="7358714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C662D2B"/>
    <w:multiLevelType w:val="hybridMultilevel"/>
    <w:tmpl w:val="2B3CE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4AA"/>
    <w:rsid w:val="000150F9"/>
    <w:rsid w:val="000660C2"/>
    <w:rsid w:val="00071623"/>
    <w:rsid w:val="000A6376"/>
    <w:rsid w:val="000B1676"/>
    <w:rsid w:val="000D3B16"/>
    <w:rsid w:val="000D5318"/>
    <w:rsid w:val="000D55E0"/>
    <w:rsid w:val="000F5FA7"/>
    <w:rsid w:val="00120A8C"/>
    <w:rsid w:val="00121B77"/>
    <w:rsid w:val="00124467"/>
    <w:rsid w:val="00155810"/>
    <w:rsid w:val="00163F85"/>
    <w:rsid w:val="00192A36"/>
    <w:rsid w:val="001934E6"/>
    <w:rsid w:val="001B4472"/>
    <w:rsid w:val="001C6AEB"/>
    <w:rsid w:val="001F150B"/>
    <w:rsid w:val="001F636F"/>
    <w:rsid w:val="0022283F"/>
    <w:rsid w:val="00261960"/>
    <w:rsid w:val="0026574E"/>
    <w:rsid w:val="0027347C"/>
    <w:rsid w:val="00290A93"/>
    <w:rsid w:val="00294590"/>
    <w:rsid w:val="002B1391"/>
    <w:rsid w:val="002C6F63"/>
    <w:rsid w:val="002E27EF"/>
    <w:rsid w:val="00310527"/>
    <w:rsid w:val="003221D7"/>
    <w:rsid w:val="00327174"/>
    <w:rsid w:val="00340478"/>
    <w:rsid w:val="00343F53"/>
    <w:rsid w:val="00350374"/>
    <w:rsid w:val="00357F40"/>
    <w:rsid w:val="0036343A"/>
    <w:rsid w:val="003958D4"/>
    <w:rsid w:val="003960A1"/>
    <w:rsid w:val="003B5819"/>
    <w:rsid w:val="003D1C0D"/>
    <w:rsid w:val="003E103E"/>
    <w:rsid w:val="003F3909"/>
    <w:rsid w:val="00403A0A"/>
    <w:rsid w:val="00405CE0"/>
    <w:rsid w:val="00425790"/>
    <w:rsid w:val="004450FB"/>
    <w:rsid w:val="004666E9"/>
    <w:rsid w:val="004710A6"/>
    <w:rsid w:val="004821A4"/>
    <w:rsid w:val="004A61A2"/>
    <w:rsid w:val="004C15A0"/>
    <w:rsid w:val="00536AC5"/>
    <w:rsid w:val="0054057D"/>
    <w:rsid w:val="00565350"/>
    <w:rsid w:val="005743CE"/>
    <w:rsid w:val="0058320F"/>
    <w:rsid w:val="005838B7"/>
    <w:rsid w:val="00592FBA"/>
    <w:rsid w:val="005B67E3"/>
    <w:rsid w:val="005F1976"/>
    <w:rsid w:val="00604A42"/>
    <w:rsid w:val="006103F5"/>
    <w:rsid w:val="00626624"/>
    <w:rsid w:val="00660FC3"/>
    <w:rsid w:val="00680092"/>
    <w:rsid w:val="006A0E88"/>
    <w:rsid w:val="006A1F35"/>
    <w:rsid w:val="006A2A7F"/>
    <w:rsid w:val="006C66FA"/>
    <w:rsid w:val="00704ED8"/>
    <w:rsid w:val="007437C0"/>
    <w:rsid w:val="00762D8A"/>
    <w:rsid w:val="007B4017"/>
    <w:rsid w:val="007E25C8"/>
    <w:rsid w:val="0081681F"/>
    <w:rsid w:val="00854111"/>
    <w:rsid w:val="00880CE1"/>
    <w:rsid w:val="0088514E"/>
    <w:rsid w:val="008B29D1"/>
    <w:rsid w:val="008B6014"/>
    <w:rsid w:val="008E3408"/>
    <w:rsid w:val="009079CC"/>
    <w:rsid w:val="0091081A"/>
    <w:rsid w:val="009167C5"/>
    <w:rsid w:val="009333F6"/>
    <w:rsid w:val="00944626"/>
    <w:rsid w:val="00947878"/>
    <w:rsid w:val="00971557"/>
    <w:rsid w:val="009A5E8C"/>
    <w:rsid w:val="009B3295"/>
    <w:rsid w:val="009B6283"/>
    <w:rsid w:val="009E7BFD"/>
    <w:rsid w:val="00A23EB8"/>
    <w:rsid w:val="00A428BA"/>
    <w:rsid w:val="00AA104F"/>
    <w:rsid w:val="00AB19F1"/>
    <w:rsid w:val="00AC09CD"/>
    <w:rsid w:val="00AD7AB0"/>
    <w:rsid w:val="00B00866"/>
    <w:rsid w:val="00B0131B"/>
    <w:rsid w:val="00B20F43"/>
    <w:rsid w:val="00B93E7D"/>
    <w:rsid w:val="00BA2FCB"/>
    <w:rsid w:val="00BA4FD6"/>
    <w:rsid w:val="00BE0491"/>
    <w:rsid w:val="00BE653E"/>
    <w:rsid w:val="00C44CD2"/>
    <w:rsid w:val="00CC50F1"/>
    <w:rsid w:val="00CC5EE4"/>
    <w:rsid w:val="00CE419E"/>
    <w:rsid w:val="00D121D2"/>
    <w:rsid w:val="00D42DC4"/>
    <w:rsid w:val="00D754AA"/>
    <w:rsid w:val="00DA0830"/>
    <w:rsid w:val="00DE5BA2"/>
    <w:rsid w:val="00E01CC8"/>
    <w:rsid w:val="00E23733"/>
    <w:rsid w:val="00E261FA"/>
    <w:rsid w:val="00E43029"/>
    <w:rsid w:val="00E759D6"/>
    <w:rsid w:val="00E94E45"/>
    <w:rsid w:val="00EA6E68"/>
    <w:rsid w:val="00EC0FB1"/>
    <w:rsid w:val="00F76DC4"/>
    <w:rsid w:val="00F86AE2"/>
    <w:rsid w:val="00F90E79"/>
    <w:rsid w:val="00FD01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40D1F6-16E3-4809-9FA0-E30907A5D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54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54AA"/>
    <w:pPr>
      <w:tabs>
        <w:tab w:val="center" w:pos="4680"/>
        <w:tab w:val="right" w:pos="9360"/>
      </w:tabs>
    </w:pPr>
  </w:style>
  <w:style w:type="character" w:customStyle="1" w:styleId="HeaderChar">
    <w:name w:val="Header Char"/>
    <w:basedOn w:val="DefaultParagraphFont"/>
    <w:link w:val="Header"/>
    <w:uiPriority w:val="99"/>
    <w:rsid w:val="00D754AA"/>
  </w:style>
  <w:style w:type="paragraph" w:styleId="Footer">
    <w:name w:val="footer"/>
    <w:basedOn w:val="Normal"/>
    <w:link w:val="FooterChar"/>
    <w:uiPriority w:val="99"/>
    <w:unhideWhenUsed/>
    <w:rsid w:val="00D754AA"/>
    <w:pPr>
      <w:tabs>
        <w:tab w:val="center" w:pos="4680"/>
        <w:tab w:val="right" w:pos="9360"/>
      </w:tabs>
    </w:pPr>
  </w:style>
  <w:style w:type="character" w:customStyle="1" w:styleId="FooterChar">
    <w:name w:val="Footer Char"/>
    <w:basedOn w:val="DefaultParagraphFont"/>
    <w:link w:val="Footer"/>
    <w:uiPriority w:val="99"/>
    <w:rsid w:val="00D754AA"/>
  </w:style>
  <w:style w:type="character" w:styleId="Hyperlink">
    <w:name w:val="Hyperlink"/>
    <w:basedOn w:val="DefaultParagraphFont"/>
    <w:uiPriority w:val="99"/>
    <w:unhideWhenUsed/>
    <w:rsid w:val="00D754AA"/>
    <w:rPr>
      <w:color w:val="0000FF"/>
      <w:u w:val="single"/>
    </w:rPr>
  </w:style>
  <w:style w:type="paragraph" w:styleId="ListParagraph">
    <w:name w:val="List Paragraph"/>
    <w:basedOn w:val="Normal"/>
    <w:uiPriority w:val="34"/>
    <w:qFormat/>
    <w:rsid w:val="00D754AA"/>
    <w:pPr>
      <w:ind w:left="720"/>
      <w:contextualSpacing/>
    </w:pPr>
    <w:rPr>
      <w:rFonts w:eastAsia="Calibri" w:cs="Times New Roman"/>
    </w:rPr>
  </w:style>
  <w:style w:type="paragraph" w:styleId="BalloonText">
    <w:name w:val="Balloon Text"/>
    <w:basedOn w:val="Normal"/>
    <w:link w:val="BalloonTextChar"/>
    <w:uiPriority w:val="99"/>
    <w:semiHidden/>
    <w:unhideWhenUsed/>
    <w:rsid w:val="00D754AA"/>
    <w:rPr>
      <w:rFonts w:ascii="Tahoma" w:hAnsi="Tahoma" w:cs="Tahoma"/>
      <w:sz w:val="16"/>
      <w:szCs w:val="16"/>
    </w:rPr>
  </w:style>
  <w:style w:type="character" w:customStyle="1" w:styleId="BalloonTextChar">
    <w:name w:val="Balloon Text Char"/>
    <w:basedOn w:val="DefaultParagraphFont"/>
    <w:link w:val="BalloonText"/>
    <w:uiPriority w:val="99"/>
    <w:semiHidden/>
    <w:rsid w:val="00D754AA"/>
    <w:rPr>
      <w:rFonts w:ascii="Tahoma" w:hAnsi="Tahoma" w:cs="Tahoma"/>
      <w:sz w:val="16"/>
      <w:szCs w:val="16"/>
    </w:rPr>
  </w:style>
  <w:style w:type="character" w:styleId="FollowedHyperlink">
    <w:name w:val="FollowedHyperlink"/>
    <w:basedOn w:val="DefaultParagraphFont"/>
    <w:uiPriority w:val="99"/>
    <w:semiHidden/>
    <w:unhideWhenUsed/>
    <w:rsid w:val="003F3909"/>
    <w:rPr>
      <w:color w:val="800080" w:themeColor="followedHyperlink"/>
      <w:u w:val="single"/>
    </w:rPr>
  </w:style>
  <w:style w:type="character" w:customStyle="1" w:styleId="text">
    <w:name w:val="text"/>
    <w:basedOn w:val="DefaultParagraphFont"/>
    <w:rsid w:val="004821A4"/>
  </w:style>
  <w:style w:type="paragraph" w:styleId="FootnoteText">
    <w:name w:val="footnote text"/>
    <w:basedOn w:val="Normal"/>
    <w:link w:val="FootnoteTextChar"/>
    <w:uiPriority w:val="99"/>
    <w:semiHidden/>
    <w:unhideWhenUsed/>
    <w:rsid w:val="00BA4FD6"/>
    <w:rPr>
      <w:sz w:val="20"/>
      <w:szCs w:val="20"/>
    </w:rPr>
  </w:style>
  <w:style w:type="character" w:customStyle="1" w:styleId="FootnoteTextChar">
    <w:name w:val="Footnote Text Char"/>
    <w:basedOn w:val="DefaultParagraphFont"/>
    <w:link w:val="FootnoteText"/>
    <w:uiPriority w:val="99"/>
    <w:semiHidden/>
    <w:rsid w:val="00BA4FD6"/>
    <w:rPr>
      <w:sz w:val="20"/>
      <w:szCs w:val="20"/>
    </w:rPr>
  </w:style>
  <w:style w:type="character" w:styleId="FootnoteReference">
    <w:name w:val="footnote reference"/>
    <w:basedOn w:val="DefaultParagraphFont"/>
    <w:uiPriority w:val="99"/>
    <w:unhideWhenUsed/>
    <w:qFormat/>
    <w:rsid w:val="00BA4FD6"/>
    <w:rPr>
      <w:vertAlign w:val="superscript"/>
    </w:rPr>
  </w:style>
  <w:style w:type="character" w:customStyle="1" w:styleId="e24kjd">
    <w:name w:val="e24kjd"/>
    <w:basedOn w:val="DefaultParagraphFont"/>
    <w:rsid w:val="00310527"/>
  </w:style>
  <w:style w:type="character" w:customStyle="1" w:styleId="st">
    <w:name w:val="st"/>
    <w:basedOn w:val="DefaultParagraphFont"/>
    <w:rsid w:val="009333F6"/>
  </w:style>
  <w:style w:type="character" w:styleId="Emphasis">
    <w:name w:val="Emphasis"/>
    <w:basedOn w:val="DefaultParagraphFont"/>
    <w:uiPriority w:val="20"/>
    <w:qFormat/>
    <w:rsid w:val="009333F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1043915">
      <w:bodyDiv w:val="1"/>
      <w:marLeft w:val="0"/>
      <w:marRight w:val="0"/>
      <w:marTop w:val="0"/>
      <w:marBottom w:val="0"/>
      <w:divBdr>
        <w:top w:val="none" w:sz="0" w:space="0" w:color="auto"/>
        <w:left w:val="none" w:sz="0" w:space="0" w:color="auto"/>
        <w:bottom w:val="none" w:sz="0" w:space="0" w:color="auto"/>
        <w:right w:val="none" w:sz="0" w:space="0" w:color="auto"/>
      </w:divBdr>
      <w:divsChild>
        <w:div w:id="1227105900">
          <w:marLeft w:val="0"/>
          <w:marRight w:val="0"/>
          <w:marTop w:val="0"/>
          <w:marBottom w:val="0"/>
          <w:divBdr>
            <w:top w:val="none" w:sz="0" w:space="0" w:color="auto"/>
            <w:left w:val="none" w:sz="0" w:space="0" w:color="auto"/>
            <w:bottom w:val="none" w:sz="0" w:space="0" w:color="auto"/>
            <w:right w:val="none" w:sz="0" w:space="0" w:color="auto"/>
          </w:divBdr>
          <w:divsChild>
            <w:div w:id="1998534208">
              <w:marLeft w:val="0"/>
              <w:marRight w:val="0"/>
              <w:marTop w:val="0"/>
              <w:marBottom w:val="0"/>
              <w:divBdr>
                <w:top w:val="none" w:sz="0" w:space="0" w:color="auto"/>
                <w:left w:val="none" w:sz="0" w:space="0" w:color="auto"/>
                <w:bottom w:val="none" w:sz="0" w:space="0" w:color="auto"/>
                <w:right w:val="none" w:sz="0" w:space="0" w:color="auto"/>
              </w:divBdr>
              <w:divsChild>
                <w:div w:id="62103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777171">
      <w:bodyDiv w:val="1"/>
      <w:marLeft w:val="0"/>
      <w:marRight w:val="0"/>
      <w:marTop w:val="0"/>
      <w:marBottom w:val="0"/>
      <w:divBdr>
        <w:top w:val="none" w:sz="0" w:space="0" w:color="auto"/>
        <w:left w:val="none" w:sz="0" w:space="0" w:color="auto"/>
        <w:bottom w:val="none" w:sz="0" w:space="0" w:color="auto"/>
        <w:right w:val="none" w:sz="0" w:space="0" w:color="auto"/>
      </w:divBdr>
    </w:div>
    <w:div w:id="182427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77B43-4421-4ABF-9EAF-E6CBAC061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1483</Words>
  <Characters>8457</Characters>
  <Application>Microsoft Office Word</Application>
  <DocSecurity>0</DocSecurity>
  <PresentationFormat>14|.DOCX</PresentationFormat>
  <Lines>70</Lines>
  <Paragraphs>19</Paragraphs>
  <ScaleCrop>false</ScaleCrop>
  <HeadingPairs>
    <vt:vector size="2" baseType="variant">
      <vt:variant>
        <vt:lpstr>Title</vt:lpstr>
      </vt:variant>
      <vt:variant>
        <vt:i4>1</vt:i4>
      </vt:variant>
    </vt:vector>
  </HeadingPairs>
  <TitlesOfParts>
    <vt:vector size="1" baseType="lpstr">
      <vt:lpstr>Azar v. Allina Health Services Memo (D0842048).DOCX</vt:lpstr>
    </vt:vector>
  </TitlesOfParts>
  <Company/>
  <LinksUpToDate>false</LinksUpToDate>
  <CharactersWithSpaces>9921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Azar v. Allina Health Services Memo (D0842048).DOCX</dc:title>
  <dc:subject>wdNOSTAMP</dc:subject>
  <dc:creator>Peter Thomas</dc:creator>
  <dc:description>DO NOT STAMP</dc:description>
  <cp:lastModifiedBy>Cindy Robinson</cp:lastModifiedBy>
  <cp:revision>2</cp:revision>
  <cp:lastPrinted>2019-06-18T17:59:00Z</cp:lastPrinted>
  <dcterms:created xsi:type="dcterms:W3CDTF">2019-07-10T04:17:00Z</dcterms:created>
  <dcterms:modified xsi:type="dcterms:W3CDTF">2019-07-10T04:17:00Z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gFAAsdpvfP9KDXIRgD8tbGPzOWMWj1NMXSPSgM+shb5EW0SrknZwgyKsT90i4Ihqul28gV8RE9WCQ1Vs
nEb1+KbTIl9l8eKnaxESdRUuXXbGa5xRNuceARkr8Dl+OxMB652Rck1LJIB5aVJsnEb1+KbTIl9l
8eKnaxESdRUuXXbGa5xRNuceARkr8NLRsRQP1qSphW/RBmzl31SkTK/tcYnmlyhYRauenTN9A2yb
UwwuM4+VTsP2l8lR5</vt:lpwstr>
  </property>
  <property fmtid="{D5CDD505-2E9C-101B-9397-08002B2CF9AE}" pid="3" name="MAIL_MSG_ID2">
    <vt:lpwstr>iubmX6HcNbS+8MVCGLLN3pj8oLUyrTlv9y/wi7p2BaqJ4L4UQ57NeT0WMg6
pYs2oAps5g2fPJ0xOKR2KMqQqX1DVAjfYpKoxQ==</vt:lpwstr>
  </property>
  <property fmtid="{D5CDD505-2E9C-101B-9397-08002B2CF9AE}" pid="4" name="RESPONSE_SENDER_NAME">
    <vt:lpwstr>sAAA4E8dREqJqIo7HmiT95WFIjX6UKo8CdkK3e/83YMbbZw=</vt:lpwstr>
  </property>
  <property fmtid="{D5CDD505-2E9C-101B-9397-08002B2CF9AE}" pid="5" name="EMAIL_OWNER_ADDRESS">
    <vt:lpwstr>4AAA4Lxe55UJ0C9uSmJ5/Xdd+WSLLEP2JHVOMvRb+0NY8mQhGB03EFJQ9Q==</vt:lpwstr>
  </property>
</Properties>
</file>