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749F" w:rsidRDefault="00AC749F" w:rsidP="00AC749F">
      <w:bookmarkStart w:id="0" w:name="_GoBack"/>
      <w:bookmarkEnd w:id="0"/>
    </w:p>
    <w:p w:rsidR="00AC749F" w:rsidRDefault="00AC749F" w:rsidP="00AC749F">
      <w:pPr>
        <w:shd w:val="clear" w:color="auto" w:fill="000000"/>
        <w:tabs>
          <w:tab w:val="center" w:pos="4680"/>
          <w:tab w:val="left" w:pos="7080"/>
        </w:tabs>
        <w:outlineLvl w:val="0"/>
        <w:rPr>
          <w:rFonts w:eastAsia="Times New Roman"/>
          <w:kern w:val="36"/>
          <w:szCs w:val="24"/>
          <w:lang w:val="es-MX"/>
        </w:rPr>
      </w:pPr>
      <w:r>
        <w:rPr>
          <w:rFonts w:eastAsia="Times New Roman"/>
          <w:kern w:val="36"/>
          <w:szCs w:val="24"/>
          <w:lang w:val="es-MX"/>
        </w:rPr>
        <w:tab/>
        <w:t>M E M O R A N D U M</w:t>
      </w:r>
      <w:r>
        <w:rPr>
          <w:rFonts w:eastAsia="Times New Roman"/>
          <w:kern w:val="36"/>
          <w:szCs w:val="24"/>
          <w:lang w:val="es-MX"/>
        </w:rPr>
        <w:tab/>
        <w:t xml:space="preserve">           </w:t>
      </w:r>
    </w:p>
    <w:p w:rsidR="00AC749F" w:rsidRDefault="00976F3A" w:rsidP="00976F3A">
      <w:pPr>
        <w:tabs>
          <w:tab w:val="left" w:pos="6386"/>
        </w:tabs>
        <w:ind w:right="18"/>
        <w:jc w:val="both"/>
        <w:rPr>
          <w:b/>
          <w:szCs w:val="24"/>
        </w:rPr>
      </w:pPr>
      <w:r>
        <w:rPr>
          <w:b/>
          <w:szCs w:val="24"/>
        </w:rPr>
        <w:tab/>
      </w:r>
    </w:p>
    <w:p w:rsidR="00AC749F" w:rsidRPr="00571E8E" w:rsidRDefault="00AC749F" w:rsidP="00AC749F">
      <w:pPr>
        <w:tabs>
          <w:tab w:val="left" w:pos="1080"/>
        </w:tabs>
        <w:ind w:right="18"/>
        <w:jc w:val="both"/>
        <w:rPr>
          <w:b/>
          <w:szCs w:val="24"/>
        </w:rPr>
      </w:pPr>
      <w:r w:rsidRPr="00A1227D">
        <w:rPr>
          <w:b/>
          <w:szCs w:val="24"/>
        </w:rPr>
        <w:t>To:</w:t>
      </w:r>
      <w:r w:rsidRPr="00A1227D">
        <w:rPr>
          <w:b/>
          <w:szCs w:val="24"/>
        </w:rPr>
        <w:tab/>
      </w:r>
      <w:r w:rsidR="008F2CDC">
        <w:rPr>
          <w:b/>
          <w:szCs w:val="24"/>
        </w:rPr>
        <w:t>ACRM</w:t>
      </w:r>
    </w:p>
    <w:p w:rsidR="00AC749F" w:rsidRPr="007A34CB" w:rsidRDefault="00AC749F" w:rsidP="00976F3A">
      <w:pPr>
        <w:tabs>
          <w:tab w:val="left" w:pos="5635"/>
        </w:tabs>
        <w:ind w:right="18"/>
        <w:jc w:val="both"/>
        <w:rPr>
          <w:szCs w:val="24"/>
          <w:highlight w:val="cyan"/>
        </w:rPr>
      </w:pPr>
    </w:p>
    <w:p w:rsidR="00AC749F" w:rsidRPr="009C3E2E" w:rsidRDefault="00AC749F" w:rsidP="00AC749F">
      <w:pPr>
        <w:tabs>
          <w:tab w:val="left" w:pos="1080"/>
        </w:tabs>
        <w:ind w:right="18"/>
        <w:jc w:val="both"/>
        <w:rPr>
          <w:b/>
          <w:szCs w:val="24"/>
        </w:rPr>
      </w:pPr>
      <w:r w:rsidRPr="00A1227D">
        <w:rPr>
          <w:b/>
          <w:szCs w:val="24"/>
        </w:rPr>
        <w:t>From:</w:t>
      </w:r>
      <w:r w:rsidRPr="00A1227D">
        <w:rPr>
          <w:b/>
          <w:szCs w:val="24"/>
        </w:rPr>
        <w:tab/>
      </w:r>
      <w:r>
        <w:rPr>
          <w:b/>
          <w:szCs w:val="24"/>
        </w:rPr>
        <w:t>Peter Thomas and Christina Krysinski</w:t>
      </w:r>
    </w:p>
    <w:p w:rsidR="00AC749F" w:rsidRPr="009C3E2E" w:rsidRDefault="00AC749F" w:rsidP="00AC749F">
      <w:pPr>
        <w:tabs>
          <w:tab w:val="left" w:pos="1080"/>
        </w:tabs>
        <w:ind w:right="18"/>
        <w:jc w:val="both"/>
        <w:rPr>
          <w:szCs w:val="24"/>
        </w:rPr>
      </w:pPr>
    </w:p>
    <w:p w:rsidR="00AC749F" w:rsidRPr="00A1227D" w:rsidRDefault="00AC749F" w:rsidP="00AC749F">
      <w:pPr>
        <w:tabs>
          <w:tab w:val="left" w:pos="1080"/>
        </w:tabs>
        <w:ind w:right="18"/>
        <w:jc w:val="both"/>
        <w:rPr>
          <w:szCs w:val="24"/>
        </w:rPr>
      </w:pPr>
      <w:r>
        <w:rPr>
          <w:b/>
          <w:szCs w:val="24"/>
        </w:rPr>
        <w:t>Date:</w:t>
      </w:r>
      <w:r>
        <w:rPr>
          <w:b/>
          <w:szCs w:val="24"/>
        </w:rPr>
        <w:tab/>
        <w:t>June 12, 2019</w:t>
      </w:r>
    </w:p>
    <w:p w:rsidR="00AC749F" w:rsidRPr="00730E2A" w:rsidRDefault="00AC749F" w:rsidP="00AC749F">
      <w:pPr>
        <w:tabs>
          <w:tab w:val="left" w:pos="1080"/>
        </w:tabs>
        <w:ind w:right="18"/>
        <w:jc w:val="both"/>
        <w:rPr>
          <w:szCs w:val="24"/>
          <w:highlight w:val="cyan"/>
        </w:rPr>
      </w:pPr>
    </w:p>
    <w:p w:rsidR="00AC749F" w:rsidRPr="00DE34CE" w:rsidRDefault="00AC749F" w:rsidP="00AC749F">
      <w:pPr>
        <w:pBdr>
          <w:bottom w:val="single" w:sz="12" w:space="1" w:color="auto"/>
        </w:pBdr>
        <w:ind w:left="1080" w:hanging="1080"/>
        <w:rPr>
          <w:b/>
        </w:rPr>
      </w:pPr>
      <w:r w:rsidRPr="00A1227D">
        <w:rPr>
          <w:b/>
          <w:szCs w:val="24"/>
        </w:rPr>
        <w:t>Re:</w:t>
      </w:r>
      <w:r w:rsidRPr="00A1227D">
        <w:rPr>
          <w:b/>
          <w:szCs w:val="24"/>
        </w:rPr>
        <w:tab/>
      </w:r>
      <w:r>
        <w:rPr>
          <w:b/>
          <w:szCs w:val="24"/>
        </w:rPr>
        <w:t>Proposed Changes to ACA Nondiscrimination Rules</w:t>
      </w:r>
    </w:p>
    <w:p w:rsidR="00AC749F" w:rsidRDefault="00AC749F" w:rsidP="00AC749F"/>
    <w:p w:rsidR="00AC749F" w:rsidRPr="00D67852" w:rsidRDefault="00AC749F" w:rsidP="00AC749F">
      <w:pPr>
        <w:rPr>
          <w:b/>
          <w:u w:val="single"/>
        </w:rPr>
      </w:pPr>
      <w:r>
        <w:t>On May 24</w:t>
      </w:r>
      <w:r w:rsidRPr="00D67852">
        <w:rPr>
          <w:vertAlign w:val="superscript"/>
        </w:rPr>
        <w:t>th</w:t>
      </w:r>
      <w:r>
        <w:t xml:space="preserve">, the U.S. Department of Health and Human Services (HHS) Office for Civil Rights (OCR) issued a Proposed Rule that would substantially replace the current rules implementing Section 1557 of the Affordable Care Act (ACA), which prohibits discrimination </w:t>
      </w:r>
      <w:r w:rsidRPr="00D67852">
        <w:t>on the basis of race, color, national origin, disability, age, and sex</w:t>
      </w:r>
      <w:r>
        <w:t>.</w:t>
      </w:r>
      <w:r>
        <w:rPr>
          <w:rStyle w:val="FootnoteReference"/>
        </w:rPr>
        <w:footnoteReference w:id="1"/>
      </w:r>
      <w:r>
        <w:t xml:space="preserve">  </w:t>
      </w:r>
      <w:r>
        <w:rPr>
          <w:b/>
          <w:u w:val="single"/>
        </w:rPr>
        <w:t>Comments on the Proposed Rule are due 60 days after publication in the Federal Register.</w:t>
      </w:r>
    </w:p>
    <w:p w:rsidR="00AC749F" w:rsidRDefault="00AC749F" w:rsidP="00AC749F"/>
    <w:p w:rsidR="00AC749F" w:rsidRDefault="00AC749F" w:rsidP="00AC749F">
      <w:r>
        <w:t>While many of the Proposed Rule’s most significant changes are related to discrimination on the basis of sex, this memorandum will focus on the proposals that may impact the implementation and enforcement of Section 1557’s prohibition of discrimination on the basis of disability.</w:t>
      </w:r>
      <w:r w:rsidRPr="00D954DB">
        <w:t xml:space="preserve"> </w:t>
      </w:r>
      <w:r>
        <w:t xml:space="preserve"> While the Proposed Rule would retain certain provisions related to accessibility for individuals with disabilities, OCR seeks comment on whether it should consider certain exceptions to the accessibility provisions.  The Proposed Rule would also limit the scope of the Section 1557 regulations and its enforcement mechanisms.  </w:t>
      </w:r>
    </w:p>
    <w:p w:rsidR="00AC749F" w:rsidRDefault="00AC749F" w:rsidP="00AC749F"/>
    <w:p w:rsidR="00AC749F" w:rsidRDefault="00AC749F" w:rsidP="00AC749F">
      <w:r w:rsidRPr="00B54C7F">
        <w:rPr>
          <w:b/>
          <w:u w:val="single"/>
        </w:rPr>
        <w:t xml:space="preserve">Background on </w:t>
      </w:r>
      <w:r>
        <w:rPr>
          <w:b/>
          <w:u w:val="single"/>
        </w:rPr>
        <w:t>Section 1557 of the ACA</w:t>
      </w:r>
    </w:p>
    <w:p w:rsidR="00AC749F" w:rsidRDefault="00AC749F" w:rsidP="00AC749F"/>
    <w:p w:rsidR="00AC749F" w:rsidRDefault="00AC749F" w:rsidP="00AC749F">
      <w:r>
        <w:t xml:space="preserve">Section 1557 applies to </w:t>
      </w:r>
      <w:r w:rsidRPr="00024099">
        <w:t>any health pro</w:t>
      </w:r>
      <w:r>
        <w:t>gram or activity that receives F</w:t>
      </w:r>
      <w:r w:rsidRPr="00024099">
        <w:t>ederal</w:t>
      </w:r>
      <w:r>
        <w:t xml:space="preserve"> financial assistance, </w:t>
      </w:r>
      <w:r w:rsidRPr="00024099">
        <w:t>any program or activity that is administered by an executiv</w:t>
      </w:r>
      <w:r>
        <w:t xml:space="preserve">e agency under Title I of the ACA, and </w:t>
      </w:r>
      <w:r w:rsidRPr="00024099">
        <w:t>a</w:t>
      </w:r>
      <w:r>
        <w:t xml:space="preserve">n entity established under </w:t>
      </w:r>
      <w:r w:rsidRPr="00024099">
        <w:t>Tit</w:t>
      </w:r>
      <w:r>
        <w:t>le I of the ACA.</w:t>
      </w:r>
      <w:r>
        <w:rPr>
          <w:rStyle w:val="FootnoteReference"/>
        </w:rPr>
        <w:footnoteReference w:id="2"/>
      </w:r>
      <w:r>
        <w:t xml:space="preserve">  This provision prohibits discrimination on any grounds prohibited by the following statutes:</w:t>
      </w:r>
      <w:r>
        <w:rPr>
          <w:rStyle w:val="FootnoteReference"/>
        </w:rPr>
        <w:footnoteReference w:id="3"/>
      </w:r>
    </w:p>
    <w:p w:rsidR="00AC749F" w:rsidRDefault="00AC749F" w:rsidP="00AC749F"/>
    <w:p w:rsidR="00AC749F" w:rsidRDefault="00AC749F" w:rsidP="00AC749F">
      <w:pPr>
        <w:pStyle w:val="ListParagraph"/>
        <w:numPr>
          <w:ilvl w:val="0"/>
          <w:numId w:val="17"/>
        </w:numPr>
      </w:pPr>
      <w:r>
        <w:t>Title VI of the Civil Rights Act of 1964 (race, color, and national origin);</w:t>
      </w:r>
      <w:r>
        <w:rPr>
          <w:rStyle w:val="FootnoteReference"/>
        </w:rPr>
        <w:footnoteReference w:id="4"/>
      </w:r>
    </w:p>
    <w:p w:rsidR="00AC749F" w:rsidRDefault="00AC749F" w:rsidP="00AC749F">
      <w:pPr>
        <w:pStyle w:val="ListParagraph"/>
        <w:numPr>
          <w:ilvl w:val="0"/>
          <w:numId w:val="17"/>
        </w:numPr>
      </w:pPr>
      <w:r>
        <w:t>Title IX of the Education Amendments of 1972 (sex);</w:t>
      </w:r>
      <w:r>
        <w:rPr>
          <w:rStyle w:val="FootnoteReference"/>
        </w:rPr>
        <w:footnoteReference w:id="5"/>
      </w:r>
    </w:p>
    <w:p w:rsidR="00AC749F" w:rsidRDefault="00AC749F" w:rsidP="00AC749F">
      <w:pPr>
        <w:pStyle w:val="ListParagraph"/>
        <w:keepNext/>
        <w:numPr>
          <w:ilvl w:val="0"/>
          <w:numId w:val="17"/>
        </w:numPr>
      </w:pPr>
      <w:r>
        <w:lastRenderedPageBreak/>
        <w:t>The Age Discrimination Act of 1975 (age);</w:t>
      </w:r>
      <w:r>
        <w:rPr>
          <w:rStyle w:val="FootnoteReference"/>
        </w:rPr>
        <w:footnoteReference w:id="6"/>
      </w:r>
      <w:r>
        <w:t xml:space="preserve"> and</w:t>
      </w:r>
    </w:p>
    <w:p w:rsidR="00AC749F" w:rsidRDefault="00AC749F" w:rsidP="00AC749F">
      <w:pPr>
        <w:pStyle w:val="ListParagraph"/>
        <w:keepNext/>
        <w:numPr>
          <w:ilvl w:val="0"/>
          <w:numId w:val="17"/>
        </w:numPr>
      </w:pPr>
      <w:r>
        <w:t>Section 504 of the Rehabilitation Act of 1973 (disability).</w:t>
      </w:r>
      <w:r>
        <w:rPr>
          <w:rStyle w:val="FootnoteReference"/>
        </w:rPr>
        <w:footnoteReference w:id="7"/>
      </w:r>
    </w:p>
    <w:p w:rsidR="00AC749F" w:rsidRDefault="00AC749F" w:rsidP="00AC749F"/>
    <w:p w:rsidR="00AC749F" w:rsidRPr="000E3E39" w:rsidRDefault="00AC749F" w:rsidP="00AC749F">
      <w:r>
        <w:t>On May 18, 2016, OCR finalized its first set of regulations implementing Section 1557 at 45 C.F.R. Part 92.</w:t>
      </w:r>
      <w:r>
        <w:rPr>
          <w:rStyle w:val="FootnoteReference"/>
        </w:rPr>
        <w:footnoteReference w:id="8"/>
      </w:r>
      <w:r>
        <w:t xml:space="preserve">  Several states and religiously-affiliated health care organizations subsequently filed a lawsuit challenging certain aspects of the regulations, particularly the prohibition of discrimination on the basis of gender identity and termination of pregnancy—this litigation is ongoing.</w:t>
      </w:r>
      <w:r>
        <w:rPr>
          <w:rStyle w:val="FootnoteReference"/>
        </w:rPr>
        <w:footnoteReference w:id="9"/>
      </w:r>
      <w:r>
        <w:t xml:space="preserve">  In the Proposed Rule, OCR seeks to revise the Section 1557 regulations largely in response to this litigation, although the Proposed Rule also addresses other aspects of the regulations.</w:t>
      </w:r>
    </w:p>
    <w:p w:rsidR="00AC749F" w:rsidRPr="00654FCE" w:rsidRDefault="00AC749F" w:rsidP="00AC749F"/>
    <w:p w:rsidR="00AC749F" w:rsidRDefault="00AC749F" w:rsidP="00AC749F">
      <w:r w:rsidRPr="00B54C7F">
        <w:rPr>
          <w:b/>
          <w:u w:val="single"/>
        </w:rPr>
        <w:t>Overview of the Proposed Rule</w:t>
      </w:r>
    </w:p>
    <w:p w:rsidR="00AC749F" w:rsidRDefault="00AC749F" w:rsidP="00AC749F"/>
    <w:p w:rsidR="00AC749F" w:rsidRDefault="00AC749F" w:rsidP="00AC749F">
      <w:r>
        <w:t>In the Proposed Rule, OCR states that it seeks to “substantially replace” the existing Section 1557 regulations.</w:t>
      </w:r>
      <w:r>
        <w:rPr>
          <w:rStyle w:val="FootnoteReference"/>
        </w:rPr>
        <w:footnoteReference w:id="10"/>
      </w:r>
      <w:r>
        <w:t xml:space="preserve">  While many of the most significant proposals are to the provisions related to discrimination on the basis of sex, some of OCR’s proposals that may impact the implementation and enforcement of Section 1557’s prohibition of discrimination on the basis of disability.  OCR believes that these changes more faithfully conform to the statutory limitations and will reduce regulatory burden for covered entities.</w:t>
      </w:r>
    </w:p>
    <w:p w:rsidR="00AC749F" w:rsidRDefault="00AC749F" w:rsidP="00AC749F"/>
    <w:p w:rsidR="00AC749F" w:rsidRDefault="00AC749F" w:rsidP="00AC749F">
      <w:r>
        <w:rPr>
          <w:i/>
        </w:rPr>
        <w:t>Scope of the Nondiscrimination Rules</w:t>
      </w:r>
    </w:p>
    <w:p w:rsidR="00AC749F" w:rsidRDefault="00AC749F" w:rsidP="00AC749F"/>
    <w:p w:rsidR="00AC749F" w:rsidRDefault="00AC749F" w:rsidP="00AC749F">
      <w:r>
        <w:t xml:space="preserve">In relevant part, Section 1557 applies to “any health program or activity, any part of which is receiving Federal financial assistance, including </w:t>
      </w:r>
      <w:r w:rsidRPr="00F61805">
        <w:t>credits, subsidies, or contracts of insurance</w:t>
      </w:r>
      <w:r>
        <w:t>.”</w:t>
      </w:r>
      <w:r>
        <w:rPr>
          <w:rStyle w:val="FootnoteReference"/>
        </w:rPr>
        <w:footnoteReference w:id="11"/>
      </w:r>
      <w:r>
        <w:t xml:space="preserve">  The current regulations define “Federal financial assistance” to include assistance that HHS “plays a role in providing or administering, including tax credits under Title I of the ACA.”</w:t>
      </w:r>
      <w:r>
        <w:rPr>
          <w:rStyle w:val="FootnoteReference"/>
        </w:rPr>
        <w:footnoteReference w:id="12"/>
      </w:r>
      <w:r>
        <w:t xml:space="preserve">  The Proposed Rule would remove the “plays a role” language.</w:t>
      </w:r>
      <w:r>
        <w:rPr>
          <w:rStyle w:val="FootnoteReference"/>
        </w:rPr>
        <w:footnoteReference w:id="13"/>
      </w:r>
      <w:r>
        <w:t xml:space="preserve">  As a result, the regulations would no longer cover issuers of Exchange plans solely on the basis that HHS plays a role in administering tax credits.  Some Exchange plans may still be subject to nondiscrimination enforcement by HHS on other grounds under Section 1557, or under other nondiscrimination authorities.</w:t>
      </w:r>
      <w:r>
        <w:rPr>
          <w:rStyle w:val="FootnoteReference"/>
        </w:rPr>
        <w:footnoteReference w:id="14"/>
      </w:r>
      <w:r>
        <w:t xml:space="preserve">  However, there may be entities that would no longer be subject to the nondiscrimination requirements as a result of this proposed change.</w:t>
      </w:r>
      <w:r w:rsidRPr="00F61805">
        <w:t xml:space="preserve"> </w:t>
      </w:r>
      <w:r>
        <w:t xml:space="preserve"> OCR specifically seeks comment on the proposed elimination of the “plays a role” language from the definition of Federal financial assistance.</w:t>
      </w:r>
    </w:p>
    <w:p w:rsidR="00AC749F" w:rsidRDefault="00AC749F" w:rsidP="00AC749F"/>
    <w:p w:rsidR="00AC749F" w:rsidRDefault="00AC749F" w:rsidP="00AC749F">
      <w:r>
        <w:lastRenderedPageBreak/>
        <w:t>OCR further proposes to limit the scope of application of the nondiscrimination requirements depending on whether the entity receiving Federal financial assistance is or is not “principally engaged in the business of providing health care.”</w:t>
      </w:r>
      <w:r>
        <w:rPr>
          <w:rStyle w:val="FootnoteReference"/>
        </w:rPr>
        <w:footnoteReference w:id="15"/>
      </w:r>
      <w:r>
        <w:t xml:space="preserve">  OCR believes that the current regulations improperly cover all operations of entities that are principally </w:t>
      </w:r>
      <w:r w:rsidRPr="00B933F3">
        <w:t>engaged in providing “health insurance coverage or other health coverage,” even if they are not principally engaged in the bus</w:t>
      </w:r>
      <w:r>
        <w:t>iness of providing “health care.</w:t>
      </w:r>
      <w:r w:rsidRPr="00B933F3">
        <w:t>”</w:t>
      </w:r>
      <w:r>
        <w:rPr>
          <w:rStyle w:val="FootnoteReference"/>
        </w:rPr>
        <w:footnoteReference w:id="16"/>
      </w:r>
      <w:r>
        <w:t xml:space="preserve">  Under OCR’s proposal, if an entity that receives Federal financial assistance is “principally engaged in the business of health care,” then the Section 1557 regulations would apply to all operations of that entity.</w:t>
      </w:r>
      <w:r>
        <w:rPr>
          <w:rStyle w:val="FootnoteReference"/>
        </w:rPr>
        <w:footnoteReference w:id="17"/>
      </w:r>
      <w:r>
        <w:t xml:space="preserve">  If the entity is not “principally engaged in the business of health care,” however, then the Section 1557 regulations would only apply to the operations of that entity that receive Federal financial assistance.</w:t>
      </w:r>
      <w:r>
        <w:rPr>
          <w:rStyle w:val="FootnoteReference"/>
        </w:rPr>
        <w:footnoteReference w:id="18"/>
      </w:r>
    </w:p>
    <w:p w:rsidR="00AC749F" w:rsidRDefault="00AC749F" w:rsidP="00AC749F"/>
    <w:p w:rsidR="00AC749F" w:rsidRDefault="00AC749F" w:rsidP="00AC749F">
      <w:r>
        <w:t>This proposed change means that, for example, short term limited duration insurance (otherwise known as short term plans) would not be subject to the nondiscrimination rules.</w:t>
      </w:r>
      <w:r>
        <w:rPr>
          <w:rStyle w:val="FootnoteReference"/>
        </w:rPr>
        <w:footnoteReference w:id="19"/>
      </w:r>
      <w:r>
        <w:t xml:space="preserve">  In addition, the rules would not apply to Medicare Part B or self-funded group health plans under the Employee Retirement Income Security Act of 1974 (ERISA), or the Federal Employees Health Benefits (FEHB) Program.</w:t>
      </w:r>
      <w:r>
        <w:rPr>
          <w:rStyle w:val="FootnoteReference"/>
        </w:rPr>
        <w:footnoteReference w:id="20"/>
      </w:r>
      <w:r>
        <w:t xml:space="preserve">  OCR seeks comment on issues related to scope of coverage issues under the Proposed Rule, including whether OCR should apply the requirements of the Section 1557 regulations to sub-recipients of Federal financial assistance.</w:t>
      </w:r>
    </w:p>
    <w:p w:rsidR="00AC749F" w:rsidRDefault="00AC749F" w:rsidP="00AC749F">
      <w:pPr>
        <w:rPr>
          <w:i/>
        </w:rPr>
      </w:pPr>
    </w:p>
    <w:p w:rsidR="00AC749F" w:rsidRDefault="00AC749F" w:rsidP="00AC749F">
      <w:r>
        <w:rPr>
          <w:i/>
        </w:rPr>
        <w:t>Provisions Related to Accessibility for Individuals with Disabilities</w:t>
      </w:r>
    </w:p>
    <w:p w:rsidR="00AC749F" w:rsidRDefault="00AC749F" w:rsidP="00AC749F"/>
    <w:p w:rsidR="00AC749F" w:rsidRDefault="00AC749F" w:rsidP="00AC749F">
      <w:r>
        <w:t>The Proposed Rule would retain, but redesignate, the provisions related to accessibility for individuals with disabilities.</w:t>
      </w:r>
      <w:r>
        <w:rPr>
          <w:rStyle w:val="FootnoteReference"/>
        </w:rPr>
        <w:footnoteReference w:id="21"/>
      </w:r>
      <w:r>
        <w:t xml:space="preserve">  However, OCR seeks comments on whether it should consider certain exceptions to the following provisions, which may limit the types of facilities that these requirements apply to or the steps that facilities must take to comply with Section 1557’s requirements:</w:t>
      </w:r>
    </w:p>
    <w:p w:rsidR="00AC749F" w:rsidRDefault="00AC749F" w:rsidP="00AC749F"/>
    <w:p w:rsidR="00AC749F" w:rsidRDefault="00AC749F" w:rsidP="00AC749F">
      <w:pPr>
        <w:pStyle w:val="ListParagraph"/>
        <w:numPr>
          <w:ilvl w:val="0"/>
          <w:numId w:val="19"/>
        </w:numPr>
      </w:pPr>
      <w:r w:rsidRPr="00603011">
        <w:rPr>
          <w:u w:val="single"/>
        </w:rPr>
        <w:t>Effective Communication for Individuals with Disabilities (Current § 92.202; Proposed § 92.102)</w:t>
      </w:r>
      <w:r>
        <w:t xml:space="preserve"> – In relevant part, this provision imposes obligations on covered entities to provide appropriate auxiliary aids and services.</w:t>
      </w:r>
      <w:r w:rsidRPr="00603011">
        <w:t xml:space="preserve"> </w:t>
      </w:r>
      <w:r>
        <w:t xml:space="preserve"> OCR seeks comment on whether to propose an exemption from the auxiliary aids and services requirement for covered entities with fewer than 15 employees.</w:t>
      </w:r>
      <w:r>
        <w:rPr>
          <w:rStyle w:val="FootnoteReference"/>
        </w:rPr>
        <w:footnoteReference w:id="22"/>
      </w:r>
    </w:p>
    <w:p w:rsidR="00AC749F" w:rsidRDefault="00AC749F" w:rsidP="00AC749F">
      <w:pPr>
        <w:pStyle w:val="ListParagraph"/>
      </w:pPr>
    </w:p>
    <w:p w:rsidR="00AC749F" w:rsidRDefault="00AC749F" w:rsidP="00AC749F">
      <w:pPr>
        <w:pStyle w:val="ListParagraph"/>
        <w:numPr>
          <w:ilvl w:val="0"/>
          <w:numId w:val="19"/>
        </w:numPr>
      </w:pPr>
      <w:r w:rsidRPr="00603011">
        <w:rPr>
          <w:u w:val="single"/>
        </w:rPr>
        <w:lastRenderedPageBreak/>
        <w:t>Accessibility Standards for Buildings and Facilities (Current § 92.203; Proposed § 92.103)</w:t>
      </w:r>
      <w:r>
        <w:t xml:space="preserve"> – This provision requires that new construction or alteration of buildings or facilities must comply with the 2010 ADA Standards for Accessible Design by January 18, 2018, with certain exceptions.  OCR seeks comment on the appropriateness of applying the 2010 ADA Standards’ definition of “public building or facility” to all entities covered under Section 1557, specifically with respect to whether this requirement benefits individuals with disabilities or burdens private entities.</w:t>
      </w:r>
      <w:r>
        <w:rPr>
          <w:rStyle w:val="FootnoteReference"/>
        </w:rPr>
        <w:footnoteReference w:id="23"/>
      </w:r>
    </w:p>
    <w:p w:rsidR="00AC749F" w:rsidRDefault="00AC749F" w:rsidP="00AC749F"/>
    <w:p w:rsidR="00AC749F" w:rsidRDefault="00AC749F" w:rsidP="00AC749F">
      <w:pPr>
        <w:pStyle w:val="ListParagraph"/>
        <w:numPr>
          <w:ilvl w:val="0"/>
          <w:numId w:val="19"/>
        </w:numPr>
      </w:pPr>
      <w:r w:rsidRPr="00603011">
        <w:rPr>
          <w:u w:val="single"/>
        </w:rPr>
        <w:t>Requirement to Make Reasonable Modifications (Current § 92.205; Proposed § 92.105)</w:t>
      </w:r>
      <w:r>
        <w:t xml:space="preserve"> – This section requires covered entities to make reasonable modifications to policies, practices, or procedures when necessary, to avoid discrimination on the basis of disability, except if the modification would fundamentally alter the nature of the health program or activity.  OCR seeks comment on whether this provision should be retained or substituted with language conforming to the Department of Justice’s Section 504 coordinating regulations which state that covered entities “shall make reasonable accommodation to the known physical or mental limitations of an otherwise qualified” individual with a disability.</w:t>
      </w:r>
      <w:r>
        <w:rPr>
          <w:rStyle w:val="FootnoteReference"/>
        </w:rPr>
        <w:footnoteReference w:id="24"/>
      </w:r>
      <w:r>
        <w:t xml:space="preserve">  OCR also seeks comment whether to include an exemption for “undue hardship.”</w:t>
      </w:r>
      <w:r>
        <w:rPr>
          <w:rStyle w:val="FootnoteReference"/>
        </w:rPr>
        <w:footnoteReference w:id="25"/>
      </w:r>
    </w:p>
    <w:p w:rsidR="00AC749F" w:rsidRDefault="00AC749F" w:rsidP="00AC749F">
      <w:pPr>
        <w:rPr>
          <w:i/>
        </w:rPr>
      </w:pPr>
    </w:p>
    <w:p w:rsidR="00AC749F" w:rsidRDefault="00AC749F" w:rsidP="00AC749F">
      <w:r>
        <w:rPr>
          <w:i/>
        </w:rPr>
        <w:t>Enforcement Mechanisms</w:t>
      </w:r>
    </w:p>
    <w:p w:rsidR="00AC749F" w:rsidRDefault="00AC749F" w:rsidP="00AC749F"/>
    <w:p w:rsidR="00AC749F" w:rsidRDefault="00AC749F" w:rsidP="00AC749F">
      <w:r>
        <w:t>The final rule for the current regulations stated that a private right of action was available for any disparate impact discrimination on the basis of any of the criteria enumerated in the legislation (</w:t>
      </w:r>
      <w:r w:rsidRPr="00D67852">
        <w:t>race, color, national origin, disability, age, and sex</w:t>
      </w:r>
      <w:r>
        <w:t>).</w:t>
      </w:r>
      <w:r>
        <w:rPr>
          <w:rStyle w:val="FootnoteReference"/>
        </w:rPr>
        <w:footnoteReference w:id="26"/>
      </w:r>
      <w:r>
        <w:t xml:space="preserve">  In the Proposed Rule, OCR states that its position is that private rights of action are not permitted for disparate impact claims of discrimination on the basis of race or sex and states that “there is a split question with respect to disability.”</w:t>
      </w:r>
      <w:r>
        <w:rPr>
          <w:rStyle w:val="FootnoteReference"/>
        </w:rPr>
        <w:footnoteReference w:id="27"/>
      </w:r>
      <w:r>
        <w:t xml:space="preserve">  By revising its position on disparate impact claims and limiting its enforcement mechanisms to those already provided for under other statutes,</w:t>
      </w:r>
      <w:r>
        <w:rPr>
          <w:rStyle w:val="FootnoteReference"/>
        </w:rPr>
        <w:footnoteReference w:id="28"/>
      </w:r>
      <w:r>
        <w:t xml:space="preserve"> OCR leaves up to the courts the issue of resolving the current split with respect to claims of discrimination on the basis of disability based on disparate impact.  “Disparate impact” discrimination is when a policy or practice is neutral on its face but nonetheless has a disproportionately negative effect on a protected class, such as individuals with disabilities. </w:t>
      </w:r>
    </w:p>
    <w:p w:rsidR="00AC749F" w:rsidRDefault="00AC749F" w:rsidP="00AC749F"/>
    <w:p w:rsidR="00AC749F" w:rsidRDefault="00AC749F" w:rsidP="00AC749F">
      <w:r>
        <w:rPr>
          <w:i/>
        </w:rPr>
        <w:t>Requirements for Providing Notice of Non-Discrimination and Language Assistance Services</w:t>
      </w:r>
    </w:p>
    <w:p w:rsidR="00AC749F" w:rsidRDefault="00AC749F" w:rsidP="00AC749F"/>
    <w:p w:rsidR="00AC749F" w:rsidRDefault="00AC749F" w:rsidP="00AC749F">
      <w:r>
        <w:t xml:space="preserve">The Proposed Rule would repeal the requirement that covered entities mail and/or provide notices regarding non-discrimination and the availability of language assistance services with </w:t>
      </w:r>
      <w:r>
        <w:lastRenderedPageBreak/>
        <w:t>every significant communication to individuals.</w:t>
      </w:r>
      <w:r>
        <w:rPr>
          <w:rStyle w:val="FootnoteReference"/>
        </w:rPr>
        <w:footnoteReference w:id="29"/>
      </w:r>
      <w:r>
        <w:t xml:space="preserve">  OCR seeks comment on the repeal of this requirement to notify beneficiaries, enrollees, applicants, patients, and/or members of the public of rights and responsibilities under civil rights laws.</w:t>
      </w:r>
      <w:r>
        <w:rPr>
          <w:rStyle w:val="FootnoteReference"/>
        </w:rPr>
        <w:footnoteReference w:id="30"/>
      </w:r>
      <w:r>
        <w:t xml:space="preserve">  </w:t>
      </w:r>
    </w:p>
    <w:p w:rsidR="00AC749F" w:rsidRDefault="00AC749F" w:rsidP="00AC749F"/>
    <w:p w:rsidR="00AC749F" w:rsidRDefault="00AC749F" w:rsidP="00AC749F">
      <w:r>
        <w:rPr>
          <w:b/>
          <w:u w:val="single"/>
        </w:rPr>
        <w:t>Conclusion</w:t>
      </w:r>
    </w:p>
    <w:p w:rsidR="00AC749F" w:rsidRDefault="00AC749F" w:rsidP="00AC749F"/>
    <w:p w:rsidR="00AC749F" w:rsidRPr="00B97F99" w:rsidRDefault="00AC749F" w:rsidP="00AC749F">
      <w:r>
        <w:t>While OCR’s Proposed Rule retains the prohibition of discrimination on the basis of disability, as required by the statute, and the provisions related to accessibility, the proposed limitations on the scope of the Section 1557 regulations, its enforcement mechanisms, and the removal of certain requirements to notify individuals of their rights may limit the effectiveness of this prohibition.  Specifically, these proposals may limit the types of entities that are subject to the ACA’s nondiscrimination rules, as well as the ability of individuals to both know about and enforce their rights under the law.</w:t>
      </w:r>
    </w:p>
    <w:p w:rsidR="00AC749F" w:rsidRDefault="00AC749F" w:rsidP="00AC749F"/>
    <w:p w:rsidR="00AC749F" w:rsidRDefault="00AC749F" w:rsidP="00AC749F">
      <w:pPr>
        <w:jc w:val="center"/>
      </w:pPr>
      <w:r>
        <w:t>*  *  *  *  *</w:t>
      </w:r>
    </w:p>
    <w:p w:rsidR="00AC749F" w:rsidRDefault="00AC749F" w:rsidP="00AC749F"/>
    <w:p w:rsidR="00AC749F" w:rsidRPr="00F21C11" w:rsidRDefault="00AC749F" w:rsidP="00AC749F">
      <w:pPr>
        <w:ind w:right="18"/>
        <w:jc w:val="both"/>
      </w:pPr>
      <w:r w:rsidRPr="008030A8">
        <w:rPr>
          <w:b/>
          <w:u w:val="single"/>
        </w:rPr>
        <w:t xml:space="preserve">Comments on the </w:t>
      </w:r>
      <w:r>
        <w:rPr>
          <w:b/>
          <w:u w:val="single"/>
        </w:rPr>
        <w:t>Proposed Rule are due 60 days after publication in the Federal Register</w:t>
      </w:r>
      <w:r w:rsidRPr="008030A8">
        <w:rPr>
          <w:b/>
          <w:u w:val="single"/>
        </w:rPr>
        <w:t>.</w:t>
      </w:r>
      <w:r>
        <w:t xml:space="preserve">  Please</w:t>
      </w:r>
      <w:r w:rsidRPr="008030A8">
        <w:t xml:space="preserve"> </w:t>
      </w:r>
      <w:r>
        <w:t xml:space="preserve">let </w:t>
      </w:r>
      <w:r w:rsidRPr="008030A8">
        <w:t>us</w:t>
      </w:r>
      <w:r>
        <w:t xml:space="preserve"> know</w:t>
      </w:r>
      <w:r w:rsidRPr="008030A8">
        <w:t xml:space="preserve"> if you would like assistance in submitting comments on the Proposed Rule.</w:t>
      </w:r>
    </w:p>
    <w:p w:rsidR="00AC749F" w:rsidRPr="00285BAE" w:rsidRDefault="00AC749F" w:rsidP="00AC749F"/>
    <w:p w:rsidR="006436A7" w:rsidRPr="00AC749F" w:rsidRDefault="006436A7" w:rsidP="00AC749F"/>
    <w:sectPr w:rsidR="006436A7" w:rsidRPr="00AC749F" w:rsidSect="00B811EC">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13CF" w:rsidRDefault="003B13CF" w:rsidP="00730E2A">
      <w:r>
        <w:separator/>
      </w:r>
    </w:p>
  </w:endnote>
  <w:endnote w:type="continuationSeparator" w:id="0">
    <w:p w:rsidR="003B13CF" w:rsidRDefault="003B13CF" w:rsidP="00730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E48" w:rsidRDefault="00851E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048F" w:rsidRDefault="00FC048F">
    <w:pPr>
      <w:pStyle w:val="Footer"/>
      <w:jc w:val="center"/>
    </w:pPr>
  </w:p>
  <w:sdt>
    <w:sdtPr>
      <w:id w:val="-1623680433"/>
      <w:docPartObj>
        <w:docPartGallery w:val="Page Numbers (Bottom of Page)"/>
        <w:docPartUnique/>
      </w:docPartObj>
    </w:sdtPr>
    <w:sdtEndPr/>
    <w:sdtContent>
      <w:p w:rsidR="00FC048F" w:rsidRPr="00E34872" w:rsidRDefault="00FC048F">
        <w:pPr>
          <w:pStyle w:val="Footer"/>
          <w:jc w:val="center"/>
        </w:pPr>
        <w:r>
          <w:fldChar w:fldCharType="begin"/>
        </w:r>
        <w:r>
          <w:instrText xml:space="preserve"> PAGE   \* MERGEFORMAT </w:instrText>
        </w:r>
        <w:r>
          <w:fldChar w:fldCharType="separate"/>
        </w:r>
        <w:r w:rsidR="008C7B5A">
          <w:rPr>
            <w:noProof/>
          </w:rPr>
          <w:t>1</w:t>
        </w:r>
        <w:r>
          <w:rPr>
            <w:noProof/>
          </w:rPr>
          <w:fldChar w:fldCharType="end"/>
        </w:r>
      </w:p>
      <w:p w:rsidR="00FC048F" w:rsidRPr="00E34872" w:rsidRDefault="00FC048F" w:rsidP="00730E2A">
        <w:pPr>
          <w:pStyle w:val="Footer"/>
          <w:ind w:left="-540" w:right="-360"/>
          <w:jc w:val="center"/>
          <w:rPr>
            <w:rFonts w:ascii="Corbel" w:hAnsi="Corbel" w:cs="Arial"/>
            <w:color w:val="365F91"/>
            <w:sz w:val="18"/>
            <w:u w:val="single"/>
          </w:rPr>
        </w:pPr>
        <w:r w:rsidRPr="00E34872">
          <w:rPr>
            <w:rFonts w:ascii="Corbel" w:hAnsi="Corbel" w:cs="Arial"/>
            <w:color w:val="365F91"/>
            <w:sz w:val="18"/>
            <w:u w:val="single"/>
          </w:rPr>
          <w:t xml:space="preserve">__________________________________________________________________________________________________________________ </w:t>
        </w:r>
        <w:r w:rsidRPr="00E34872">
          <w:rPr>
            <w:rFonts w:ascii="Corbel" w:hAnsi="Corbel" w:cs="Arial"/>
            <w:color w:val="365F91"/>
            <w:sz w:val="18"/>
          </w:rPr>
          <w:t xml:space="preserve">1501 M STREET, NW   </w:t>
        </w:r>
        <w:r w:rsidRPr="00E34872">
          <w:rPr>
            <w:rFonts w:ascii="Corbel" w:hAnsi="Corbel" w:cs="Arial"/>
            <w:sz w:val="18"/>
          </w:rPr>
          <w:sym w:font="Wingdings" w:char="F06E"/>
        </w:r>
        <w:r w:rsidRPr="00E34872">
          <w:rPr>
            <w:rFonts w:ascii="Corbel" w:hAnsi="Corbel" w:cs="Arial"/>
            <w:color w:val="365F91"/>
            <w:sz w:val="18"/>
          </w:rPr>
          <w:t xml:space="preserve">   7</w:t>
        </w:r>
        <w:r w:rsidRPr="00E34872">
          <w:rPr>
            <w:rFonts w:ascii="Corbel" w:hAnsi="Corbel" w:cs="Arial"/>
            <w:color w:val="365F91"/>
            <w:sz w:val="18"/>
            <w:vertAlign w:val="superscript"/>
          </w:rPr>
          <w:t>th</w:t>
        </w:r>
        <w:r w:rsidRPr="00E34872">
          <w:rPr>
            <w:rFonts w:ascii="Corbel" w:hAnsi="Corbel" w:cs="Arial"/>
            <w:color w:val="365F91"/>
            <w:sz w:val="18"/>
          </w:rPr>
          <w:t xml:space="preserve"> FLOOR   </w:t>
        </w:r>
        <w:r w:rsidRPr="00E34872">
          <w:rPr>
            <w:rFonts w:ascii="Corbel" w:hAnsi="Corbel" w:cs="Arial"/>
            <w:sz w:val="18"/>
          </w:rPr>
          <w:sym w:font="Wingdings" w:char="F06E"/>
        </w:r>
        <w:r w:rsidRPr="00E34872">
          <w:rPr>
            <w:rFonts w:ascii="Corbel" w:hAnsi="Corbel" w:cs="Arial"/>
            <w:color w:val="365F91"/>
            <w:sz w:val="18"/>
          </w:rPr>
          <w:t xml:space="preserve">   WASHINGTON DC  20005   </w:t>
        </w:r>
        <w:r w:rsidRPr="00E34872">
          <w:rPr>
            <w:rFonts w:ascii="Corbel" w:hAnsi="Corbel" w:cs="Arial"/>
            <w:sz w:val="18"/>
          </w:rPr>
          <w:sym w:font="Wingdings" w:char="F06E"/>
        </w:r>
        <w:r w:rsidRPr="00E34872">
          <w:rPr>
            <w:rFonts w:ascii="Corbel" w:hAnsi="Corbel" w:cs="Arial"/>
            <w:color w:val="365F91"/>
            <w:sz w:val="18"/>
          </w:rPr>
          <w:t xml:space="preserve">   PH 202.466.6550 </w:t>
        </w:r>
        <w:r w:rsidRPr="00E34872">
          <w:rPr>
            <w:rFonts w:ascii="Corbel" w:hAnsi="Corbel" w:cs="Arial"/>
            <w:sz w:val="18"/>
          </w:rPr>
          <w:sym w:font="Wingdings" w:char="F06E"/>
        </w:r>
        <w:r w:rsidRPr="00E34872">
          <w:rPr>
            <w:rFonts w:ascii="Corbel" w:hAnsi="Corbel" w:cs="Arial"/>
            <w:color w:val="365F91"/>
            <w:sz w:val="18"/>
          </w:rPr>
          <w:t xml:space="preserve">   FX 202.785.1756    </w:t>
        </w:r>
        <w:r w:rsidRPr="00E34872">
          <w:rPr>
            <w:rFonts w:ascii="Corbel" w:hAnsi="Corbel" w:cs="Arial"/>
            <w:sz w:val="18"/>
          </w:rPr>
          <w:sym w:font="Wingdings" w:char="F06E"/>
        </w:r>
        <w:r w:rsidRPr="00E34872">
          <w:rPr>
            <w:rFonts w:ascii="Corbel" w:hAnsi="Corbel" w:cs="Arial"/>
            <w:sz w:val="18"/>
            <w:szCs w:val="18"/>
          </w:rPr>
          <w:t xml:space="preserve">   </w:t>
        </w:r>
        <w:r w:rsidRPr="00E34872">
          <w:rPr>
            <w:rFonts w:ascii="Corbel" w:hAnsi="Corbel" w:cs="Arial"/>
            <w:color w:val="365F91"/>
            <w:sz w:val="18"/>
          </w:rPr>
          <w:t>WWW.PPSV.COM</w:t>
        </w:r>
      </w:p>
    </w:sdtContent>
  </w:sdt>
  <w:p w:rsidR="00FC048F" w:rsidRPr="00E34872" w:rsidRDefault="00FC048F" w:rsidP="00730E2A">
    <w:pPr>
      <w:pStyle w:val="Footer"/>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E48" w:rsidRDefault="00851E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13CF" w:rsidRDefault="003B13CF" w:rsidP="00730E2A">
      <w:pPr>
        <w:rPr>
          <w:noProof/>
        </w:rPr>
      </w:pPr>
      <w:r>
        <w:rPr>
          <w:noProof/>
        </w:rPr>
        <w:separator/>
      </w:r>
    </w:p>
  </w:footnote>
  <w:footnote w:type="continuationSeparator" w:id="0">
    <w:p w:rsidR="003B13CF" w:rsidRDefault="003B13CF" w:rsidP="00730E2A">
      <w:r>
        <w:continuationSeparator/>
      </w:r>
    </w:p>
  </w:footnote>
  <w:footnote w:id="1">
    <w:p w:rsidR="00AC749F" w:rsidRDefault="00AC749F" w:rsidP="00AC749F">
      <w:pPr>
        <w:pStyle w:val="FootnoteText"/>
      </w:pPr>
      <w:r>
        <w:rPr>
          <w:rStyle w:val="FootnoteReference"/>
        </w:rPr>
        <w:footnoteRef/>
      </w:r>
      <w:r>
        <w:t xml:space="preserve"> Nondiscrimination in Health and Health Education Programs or Activities (hereinafter the “Proposed Rule”), currently available at: </w:t>
      </w:r>
      <w:hyperlink r:id="rId1" w:history="1">
        <w:r w:rsidRPr="001C31B1">
          <w:rPr>
            <w:rStyle w:val="Hyperlink"/>
          </w:rPr>
          <w:t>https://www.hhs.gov/sites/default/files/1557-nprm-hhs.pdf</w:t>
        </w:r>
      </w:hyperlink>
      <w:r>
        <w:t xml:space="preserve">. </w:t>
      </w:r>
    </w:p>
  </w:footnote>
  <w:footnote w:id="2">
    <w:p w:rsidR="00AC749F" w:rsidRDefault="00AC749F" w:rsidP="00AC749F">
      <w:pPr>
        <w:pStyle w:val="FootnoteText"/>
      </w:pPr>
      <w:r>
        <w:rPr>
          <w:rStyle w:val="FootnoteReference"/>
        </w:rPr>
        <w:footnoteRef/>
      </w:r>
      <w:r>
        <w:t xml:space="preserve"> Patient Protection and Affordable Care Act, Pub. L. No. 111-148, § 1557, 124 Stat. 119, 260 (2010) (codified at 42 U.S.C. § 18116).</w:t>
      </w:r>
    </w:p>
  </w:footnote>
  <w:footnote w:id="3">
    <w:p w:rsidR="00AC749F" w:rsidRPr="00024099" w:rsidRDefault="00AC749F" w:rsidP="00AC749F">
      <w:pPr>
        <w:pStyle w:val="FootnoteText"/>
        <w:rPr>
          <w:i/>
        </w:rPr>
      </w:pPr>
      <w:r>
        <w:rPr>
          <w:rStyle w:val="FootnoteReference"/>
        </w:rPr>
        <w:footnoteRef/>
      </w:r>
      <w:r>
        <w:t xml:space="preserve"> </w:t>
      </w:r>
      <w:r>
        <w:rPr>
          <w:i/>
        </w:rPr>
        <w:t>Id.</w:t>
      </w:r>
    </w:p>
  </w:footnote>
  <w:footnote w:id="4">
    <w:p w:rsidR="00AC749F" w:rsidRPr="00024099" w:rsidRDefault="00AC749F" w:rsidP="00AC749F">
      <w:pPr>
        <w:pStyle w:val="FootnoteText"/>
      </w:pPr>
      <w:r>
        <w:rPr>
          <w:rStyle w:val="FootnoteReference"/>
        </w:rPr>
        <w:footnoteRef/>
      </w:r>
      <w:r>
        <w:t xml:space="preserve"> 42 U.S.C. § 2000d </w:t>
      </w:r>
      <w:r>
        <w:rPr>
          <w:i/>
        </w:rPr>
        <w:t>et seq.</w:t>
      </w:r>
    </w:p>
  </w:footnote>
  <w:footnote w:id="5">
    <w:p w:rsidR="00AC749F" w:rsidRPr="00024099" w:rsidRDefault="00AC749F" w:rsidP="00AC749F">
      <w:pPr>
        <w:pStyle w:val="FootnoteText"/>
        <w:rPr>
          <w:i/>
        </w:rPr>
      </w:pPr>
      <w:r>
        <w:rPr>
          <w:rStyle w:val="FootnoteReference"/>
        </w:rPr>
        <w:footnoteRef/>
      </w:r>
      <w:r>
        <w:t xml:space="preserve"> 20 U.S.C. § 1681 </w:t>
      </w:r>
      <w:r>
        <w:rPr>
          <w:i/>
        </w:rPr>
        <w:t>et seq.</w:t>
      </w:r>
    </w:p>
  </w:footnote>
  <w:footnote w:id="6">
    <w:p w:rsidR="00AC749F" w:rsidRPr="00024099" w:rsidRDefault="00AC749F" w:rsidP="00AC749F">
      <w:pPr>
        <w:pStyle w:val="FootnoteText"/>
        <w:rPr>
          <w:i/>
        </w:rPr>
      </w:pPr>
      <w:r>
        <w:rPr>
          <w:rStyle w:val="FootnoteReference"/>
        </w:rPr>
        <w:footnoteRef/>
      </w:r>
      <w:r>
        <w:t xml:space="preserve"> 42 U.S.C. § 6101 </w:t>
      </w:r>
      <w:r>
        <w:rPr>
          <w:i/>
        </w:rPr>
        <w:t>et seq.</w:t>
      </w:r>
    </w:p>
  </w:footnote>
  <w:footnote w:id="7">
    <w:p w:rsidR="00AC749F" w:rsidRDefault="00AC749F" w:rsidP="00AC749F">
      <w:pPr>
        <w:pStyle w:val="FootnoteText"/>
      </w:pPr>
      <w:r>
        <w:rPr>
          <w:rStyle w:val="FootnoteReference"/>
        </w:rPr>
        <w:footnoteRef/>
      </w:r>
      <w:r>
        <w:t xml:space="preserve"> 29 U.S.C. § 794.</w:t>
      </w:r>
    </w:p>
  </w:footnote>
  <w:footnote w:id="8">
    <w:p w:rsidR="00AC749F" w:rsidRDefault="00AC749F" w:rsidP="00AC749F">
      <w:pPr>
        <w:pStyle w:val="FootnoteText"/>
      </w:pPr>
      <w:r>
        <w:rPr>
          <w:rStyle w:val="FootnoteReference"/>
        </w:rPr>
        <w:footnoteRef/>
      </w:r>
      <w:r>
        <w:t xml:space="preserve"> Nondiscrimination in Health Programs and Activities, 81 Fed. Reg. 31,376 (May 18, 2016).</w:t>
      </w:r>
    </w:p>
  </w:footnote>
  <w:footnote w:id="9">
    <w:p w:rsidR="00AC749F" w:rsidRPr="003E4BF6" w:rsidRDefault="00AC749F" w:rsidP="00AC749F">
      <w:pPr>
        <w:pStyle w:val="FootnoteText"/>
      </w:pPr>
      <w:r>
        <w:rPr>
          <w:rStyle w:val="FootnoteReference"/>
        </w:rPr>
        <w:footnoteRef/>
      </w:r>
      <w:r>
        <w:t xml:space="preserve"> </w:t>
      </w:r>
      <w:r>
        <w:rPr>
          <w:i/>
        </w:rPr>
        <w:t xml:space="preserve">See </w:t>
      </w:r>
      <w:r w:rsidRPr="003E4BF6">
        <w:t>Franciscan Alliance, Inc. et al. v. Azar</w:t>
      </w:r>
      <w:r>
        <w:t>, No. 7:16-cv-00108-O (W.D. Tex.).</w:t>
      </w:r>
    </w:p>
  </w:footnote>
  <w:footnote w:id="10">
    <w:p w:rsidR="00AC749F" w:rsidRDefault="00AC749F" w:rsidP="00AC749F">
      <w:pPr>
        <w:pStyle w:val="FootnoteText"/>
      </w:pPr>
      <w:r>
        <w:rPr>
          <w:rStyle w:val="FootnoteReference"/>
        </w:rPr>
        <w:footnoteRef/>
      </w:r>
      <w:r>
        <w:t xml:space="preserve"> Proposed Rule at 58.</w:t>
      </w:r>
    </w:p>
  </w:footnote>
  <w:footnote w:id="11">
    <w:p w:rsidR="00AC749F" w:rsidRDefault="00AC749F" w:rsidP="00AC749F">
      <w:pPr>
        <w:pStyle w:val="FootnoteText"/>
      </w:pPr>
      <w:r>
        <w:rPr>
          <w:rStyle w:val="FootnoteReference"/>
        </w:rPr>
        <w:footnoteRef/>
      </w:r>
      <w:r>
        <w:t xml:space="preserve"> 42 U.S.C. § 18116(a).</w:t>
      </w:r>
    </w:p>
  </w:footnote>
  <w:footnote w:id="12">
    <w:p w:rsidR="00AC749F" w:rsidRDefault="00AC749F" w:rsidP="00AC749F">
      <w:pPr>
        <w:pStyle w:val="FootnoteText"/>
      </w:pPr>
      <w:r>
        <w:rPr>
          <w:rStyle w:val="FootnoteReference"/>
        </w:rPr>
        <w:footnoteRef/>
      </w:r>
      <w:r>
        <w:t xml:space="preserve"> 45 C.F.R. § 92.4.</w:t>
      </w:r>
    </w:p>
  </w:footnote>
  <w:footnote w:id="13">
    <w:p w:rsidR="00AC749F" w:rsidRDefault="00AC749F" w:rsidP="00AC749F">
      <w:pPr>
        <w:pStyle w:val="FootnoteText"/>
      </w:pPr>
      <w:r>
        <w:rPr>
          <w:rStyle w:val="FootnoteReference"/>
        </w:rPr>
        <w:footnoteRef/>
      </w:r>
      <w:r>
        <w:t xml:space="preserve"> Proposed Rule at 64-65.</w:t>
      </w:r>
    </w:p>
  </w:footnote>
  <w:footnote w:id="14">
    <w:p w:rsidR="00AC749F" w:rsidRDefault="00AC749F" w:rsidP="00AC749F">
      <w:pPr>
        <w:pStyle w:val="FootnoteText"/>
      </w:pPr>
      <w:r>
        <w:rPr>
          <w:rStyle w:val="FootnoteReference"/>
        </w:rPr>
        <w:footnoteRef/>
      </w:r>
      <w:r>
        <w:t xml:space="preserve"> For example, qualified health plans sold on the Exchanges established under Title I of the ACA would still be subject to Section 1557.  Proposed Rule at 64-65.</w:t>
      </w:r>
    </w:p>
  </w:footnote>
  <w:footnote w:id="15">
    <w:p w:rsidR="00AC749F" w:rsidRDefault="00AC749F" w:rsidP="00AC749F">
      <w:pPr>
        <w:pStyle w:val="FootnoteText"/>
      </w:pPr>
      <w:r>
        <w:rPr>
          <w:rStyle w:val="FootnoteReference"/>
        </w:rPr>
        <w:footnoteRef/>
      </w:r>
      <w:r>
        <w:t xml:space="preserve"> Proposed Rule at 67.</w:t>
      </w:r>
    </w:p>
  </w:footnote>
  <w:footnote w:id="16">
    <w:p w:rsidR="00AC749F" w:rsidRPr="00B933F3" w:rsidRDefault="00AC749F" w:rsidP="00AC749F">
      <w:pPr>
        <w:pStyle w:val="FootnoteText"/>
        <w:rPr>
          <w:i/>
        </w:rPr>
      </w:pPr>
      <w:r>
        <w:rPr>
          <w:rStyle w:val="FootnoteReference"/>
        </w:rPr>
        <w:footnoteRef/>
      </w:r>
      <w:r>
        <w:t xml:space="preserve"> OCR’s position is that “health insurance” is distinct from “health care.”  Proposed Rule at 68-71.</w:t>
      </w:r>
    </w:p>
  </w:footnote>
  <w:footnote w:id="17">
    <w:p w:rsidR="00AC749F" w:rsidRPr="00B933F3" w:rsidRDefault="00AC749F" w:rsidP="00AC749F">
      <w:pPr>
        <w:pStyle w:val="FootnoteText"/>
        <w:rPr>
          <w:i/>
        </w:rPr>
      </w:pPr>
      <w:r>
        <w:rPr>
          <w:rStyle w:val="FootnoteReference"/>
        </w:rPr>
        <w:footnoteRef/>
      </w:r>
      <w:r>
        <w:t xml:space="preserve"> </w:t>
      </w:r>
      <w:r>
        <w:rPr>
          <w:i/>
        </w:rPr>
        <w:t>Id.</w:t>
      </w:r>
    </w:p>
  </w:footnote>
  <w:footnote w:id="18">
    <w:p w:rsidR="00AC749F" w:rsidRPr="00B933F3" w:rsidRDefault="00AC749F" w:rsidP="00AC749F">
      <w:pPr>
        <w:pStyle w:val="FootnoteText"/>
        <w:rPr>
          <w:i/>
        </w:rPr>
      </w:pPr>
      <w:r>
        <w:rPr>
          <w:rStyle w:val="FootnoteReference"/>
        </w:rPr>
        <w:footnoteRef/>
      </w:r>
      <w:r>
        <w:t xml:space="preserve"> </w:t>
      </w:r>
      <w:r>
        <w:rPr>
          <w:i/>
        </w:rPr>
        <w:t>Id.</w:t>
      </w:r>
    </w:p>
  </w:footnote>
  <w:footnote w:id="19">
    <w:p w:rsidR="00AC749F" w:rsidRDefault="00AC749F" w:rsidP="00AC749F">
      <w:pPr>
        <w:pStyle w:val="FootnoteText"/>
      </w:pPr>
      <w:r>
        <w:rPr>
          <w:rStyle w:val="FootnoteReference"/>
        </w:rPr>
        <w:footnoteRef/>
      </w:r>
      <w:r>
        <w:t xml:space="preserve"> Proposed Rule at 70 – 71.</w:t>
      </w:r>
    </w:p>
  </w:footnote>
  <w:footnote w:id="20">
    <w:p w:rsidR="00AC749F" w:rsidRPr="006427CB" w:rsidRDefault="00AC749F" w:rsidP="00AC749F">
      <w:pPr>
        <w:pStyle w:val="FootnoteText"/>
        <w:rPr>
          <w:i/>
        </w:rPr>
      </w:pPr>
      <w:r>
        <w:rPr>
          <w:rStyle w:val="FootnoteReference"/>
        </w:rPr>
        <w:footnoteRef/>
      </w:r>
      <w:r>
        <w:t xml:space="preserve"> </w:t>
      </w:r>
      <w:r>
        <w:rPr>
          <w:i/>
        </w:rPr>
        <w:t>Id.</w:t>
      </w:r>
    </w:p>
  </w:footnote>
  <w:footnote w:id="21">
    <w:p w:rsidR="00AC749F" w:rsidRDefault="00AC749F" w:rsidP="00AC749F">
      <w:pPr>
        <w:pStyle w:val="FootnoteText"/>
      </w:pPr>
      <w:r>
        <w:rPr>
          <w:rStyle w:val="FootnoteReference"/>
        </w:rPr>
        <w:footnoteRef/>
      </w:r>
      <w:r>
        <w:t xml:space="preserve"> 45 C.F.R. §§ 92.202 – 92.205.</w:t>
      </w:r>
    </w:p>
  </w:footnote>
  <w:footnote w:id="22">
    <w:p w:rsidR="00AC749F" w:rsidRDefault="00AC749F" w:rsidP="00AC749F">
      <w:pPr>
        <w:pStyle w:val="FootnoteText"/>
      </w:pPr>
      <w:r>
        <w:rPr>
          <w:rStyle w:val="FootnoteReference"/>
        </w:rPr>
        <w:footnoteRef/>
      </w:r>
      <w:r>
        <w:t xml:space="preserve"> Proposed Rule at 88.</w:t>
      </w:r>
      <w:r w:rsidRPr="00A52ACD">
        <w:t xml:space="preserve"> </w:t>
      </w:r>
      <w:r>
        <w:t>The regulations implementing Section 504 of the Rehabilitation Act of 1973 permit this exemption, but allow OCR to impose this requirement on recipients of Federal financial assistance with fewer than 15 employees if provision of auxiliary aids and services would not significantly impair the ability of the recipient to provide the benefits or services.</w:t>
      </w:r>
    </w:p>
  </w:footnote>
  <w:footnote w:id="23">
    <w:p w:rsidR="00AC749F" w:rsidRPr="000B6E6F" w:rsidRDefault="00AC749F" w:rsidP="00AC749F">
      <w:pPr>
        <w:pStyle w:val="FootnoteText"/>
        <w:rPr>
          <w:i/>
        </w:rPr>
      </w:pPr>
      <w:r>
        <w:rPr>
          <w:rStyle w:val="FootnoteReference"/>
        </w:rPr>
        <w:footnoteRef/>
      </w:r>
      <w:r>
        <w:t xml:space="preserve"> Proposed Rule at 88-89.</w:t>
      </w:r>
    </w:p>
  </w:footnote>
  <w:footnote w:id="24">
    <w:p w:rsidR="00AC749F" w:rsidRDefault="00AC749F" w:rsidP="00AC749F">
      <w:pPr>
        <w:pStyle w:val="FootnoteText"/>
      </w:pPr>
      <w:r>
        <w:rPr>
          <w:rStyle w:val="FootnoteReference"/>
        </w:rPr>
        <w:footnoteRef/>
      </w:r>
      <w:r>
        <w:t xml:space="preserve"> Proposed Rule at 91.</w:t>
      </w:r>
    </w:p>
  </w:footnote>
  <w:footnote w:id="25">
    <w:p w:rsidR="00AC749F" w:rsidRPr="00A52ACD" w:rsidRDefault="00AC749F" w:rsidP="00AC749F">
      <w:pPr>
        <w:pStyle w:val="FootnoteText"/>
        <w:rPr>
          <w:i/>
        </w:rPr>
      </w:pPr>
      <w:r>
        <w:rPr>
          <w:rStyle w:val="FootnoteReference"/>
        </w:rPr>
        <w:footnoteRef/>
      </w:r>
      <w:r>
        <w:t xml:space="preserve"> </w:t>
      </w:r>
      <w:r>
        <w:rPr>
          <w:i/>
        </w:rPr>
        <w:t>Id.</w:t>
      </w:r>
    </w:p>
  </w:footnote>
  <w:footnote w:id="26">
    <w:p w:rsidR="00AC749F" w:rsidRDefault="00AC749F" w:rsidP="00AC749F">
      <w:pPr>
        <w:pStyle w:val="FootnoteText"/>
      </w:pPr>
      <w:r>
        <w:rPr>
          <w:rStyle w:val="FootnoteReference"/>
        </w:rPr>
        <w:footnoteRef/>
      </w:r>
      <w:r>
        <w:t xml:space="preserve"> Nondiscrimination in Health Programs and Activities, 81 Fed. Reg. 31,376, 31,440 (May 18, 2016).</w:t>
      </w:r>
    </w:p>
  </w:footnote>
  <w:footnote w:id="27">
    <w:p w:rsidR="00AC749F" w:rsidRDefault="00AC749F" w:rsidP="00AC749F">
      <w:pPr>
        <w:pStyle w:val="FootnoteText"/>
      </w:pPr>
      <w:r>
        <w:rPr>
          <w:rStyle w:val="FootnoteReference"/>
        </w:rPr>
        <w:footnoteRef/>
      </w:r>
      <w:r>
        <w:t xml:space="preserve"> Proposed Rule at 23.</w:t>
      </w:r>
      <w:r w:rsidRPr="00474B24">
        <w:t xml:space="preserve"> </w:t>
      </w:r>
      <w:r>
        <w:t xml:space="preserve">  The current regulations also state that compensatory damages may be available for violations of Section 1557.</w:t>
      </w:r>
      <w:r w:rsidRPr="00474B24">
        <w:t xml:space="preserve"> </w:t>
      </w:r>
      <w:r>
        <w:t xml:space="preserve"> 45 C.F.R. § 92.301(b).</w:t>
      </w:r>
      <w:r w:rsidRPr="00474B24">
        <w:t xml:space="preserve"> </w:t>
      </w:r>
      <w:r>
        <w:t xml:space="preserve"> However, OCR states that its position is that compensatory damages are generally unavailable for claims based solely on disparate impact.</w:t>
      </w:r>
      <w:r w:rsidRPr="00474B24">
        <w:t xml:space="preserve"> </w:t>
      </w:r>
      <w:r>
        <w:t xml:space="preserve"> Proposed Rule at 24.</w:t>
      </w:r>
    </w:p>
  </w:footnote>
  <w:footnote w:id="28">
    <w:p w:rsidR="00AC749F" w:rsidRDefault="00AC749F" w:rsidP="00AC749F">
      <w:pPr>
        <w:pStyle w:val="FootnoteText"/>
      </w:pPr>
      <w:r>
        <w:rPr>
          <w:rStyle w:val="FootnoteReference"/>
        </w:rPr>
        <w:footnoteRef/>
      </w:r>
      <w:r>
        <w:t xml:space="preserve"> Proposed Rule at 58.</w:t>
      </w:r>
    </w:p>
  </w:footnote>
  <w:footnote w:id="29">
    <w:p w:rsidR="00AC749F" w:rsidRDefault="00AC749F" w:rsidP="00AC749F">
      <w:pPr>
        <w:pStyle w:val="FootnoteText"/>
      </w:pPr>
      <w:r>
        <w:rPr>
          <w:rStyle w:val="FootnoteReference"/>
        </w:rPr>
        <w:footnoteRef/>
      </w:r>
      <w:r>
        <w:t xml:space="preserve"> Proposed Rule at 14, 93-94.</w:t>
      </w:r>
    </w:p>
  </w:footnote>
  <w:footnote w:id="30">
    <w:p w:rsidR="00AC749F" w:rsidRDefault="00AC749F" w:rsidP="00AC749F">
      <w:pPr>
        <w:pStyle w:val="FootnoteText"/>
      </w:pPr>
      <w:r>
        <w:rPr>
          <w:rStyle w:val="FootnoteReference"/>
        </w:rPr>
        <w:footnoteRef/>
      </w:r>
      <w:r>
        <w:t xml:space="preserve"> Proposed Rule at 96-98.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E48" w:rsidRDefault="00851E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048F" w:rsidRDefault="00FC048F" w:rsidP="00730E2A">
    <w:pPr>
      <w:pStyle w:val="Header"/>
      <w:tabs>
        <w:tab w:val="clear" w:pos="4680"/>
        <w:tab w:val="clear" w:pos="9360"/>
        <w:tab w:val="left" w:pos="4213"/>
      </w:tabs>
    </w:pPr>
    <w:r w:rsidRPr="00730E2A">
      <w:rPr>
        <w:noProof/>
      </w:rPr>
      <w:drawing>
        <wp:anchor distT="0" distB="0" distL="114300" distR="114300" simplePos="0" relativeHeight="251659264" behindDoc="0" locked="0" layoutInCell="1" allowOverlap="1" wp14:anchorId="50060BD1" wp14:editId="13002E37">
          <wp:simplePos x="0" y="0"/>
          <wp:positionH relativeFrom="column">
            <wp:posOffset>1990725</wp:posOffset>
          </wp:positionH>
          <wp:positionV relativeFrom="page">
            <wp:posOffset>203200</wp:posOffset>
          </wp:positionV>
          <wp:extent cx="2219325" cy="647700"/>
          <wp:effectExtent l="0" t="0" r="0" b="0"/>
          <wp:wrapNone/>
          <wp:docPr id="1" name="Picture 3"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9325" cy="647700"/>
                  </a:xfrm>
                  <a:prstGeom prst="rect">
                    <a:avLst/>
                  </a:prstGeom>
                  <a:noFill/>
                  <a:ln>
                    <a:noFill/>
                  </a:ln>
                </pic:spPr>
              </pic:pic>
            </a:graphicData>
          </a:graphic>
        </wp:anchor>
      </w:drawing>
    </w:r>
    <w:r>
      <w:tab/>
    </w:r>
  </w:p>
  <w:p w:rsidR="00FC048F" w:rsidRDefault="00FC048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E48" w:rsidRDefault="00851E4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15:restartNumberingAfterBreak="0">
    <w:nsid w:val="02F0722C"/>
    <w:multiLevelType w:val="hybridMultilevel"/>
    <w:tmpl w:val="8BD28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2421E2"/>
    <w:multiLevelType w:val="hybridMultilevel"/>
    <w:tmpl w:val="00B09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40973"/>
    <w:multiLevelType w:val="hybridMultilevel"/>
    <w:tmpl w:val="7A80DC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211445"/>
    <w:multiLevelType w:val="hybridMultilevel"/>
    <w:tmpl w:val="1B98F8DC"/>
    <w:lvl w:ilvl="0" w:tplc="8EA6E61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5023C2"/>
    <w:multiLevelType w:val="hybridMultilevel"/>
    <w:tmpl w:val="132A7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5B0EDF"/>
    <w:multiLevelType w:val="hybridMultilevel"/>
    <w:tmpl w:val="85907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B80317"/>
    <w:multiLevelType w:val="hybridMultilevel"/>
    <w:tmpl w:val="557AAE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0C24DE"/>
    <w:multiLevelType w:val="hybridMultilevel"/>
    <w:tmpl w:val="CFEAE8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3437B1"/>
    <w:multiLevelType w:val="hybridMultilevel"/>
    <w:tmpl w:val="42A4F3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6168DE"/>
    <w:multiLevelType w:val="hybridMultilevel"/>
    <w:tmpl w:val="AA9C9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0C5C0C"/>
    <w:multiLevelType w:val="hybridMultilevel"/>
    <w:tmpl w:val="039A8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195054"/>
    <w:multiLevelType w:val="hybridMultilevel"/>
    <w:tmpl w:val="0D445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7C70A0"/>
    <w:multiLevelType w:val="hybridMultilevel"/>
    <w:tmpl w:val="0F3CF0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B23F84"/>
    <w:multiLevelType w:val="hybridMultilevel"/>
    <w:tmpl w:val="F43C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9362E2"/>
    <w:multiLevelType w:val="hybridMultilevel"/>
    <w:tmpl w:val="8C368D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AF49A7"/>
    <w:multiLevelType w:val="hybridMultilevel"/>
    <w:tmpl w:val="7CAA1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A916A9"/>
    <w:multiLevelType w:val="hybridMultilevel"/>
    <w:tmpl w:val="1A36F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3D34FF"/>
    <w:multiLevelType w:val="hybridMultilevel"/>
    <w:tmpl w:val="9E140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656AC5"/>
    <w:multiLevelType w:val="hybridMultilevel"/>
    <w:tmpl w:val="6EF87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7"/>
  </w:num>
  <w:num w:numId="4">
    <w:abstractNumId w:val="18"/>
  </w:num>
  <w:num w:numId="5">
    <w:abstractNumId w:val="9"/>
  </w:num>
  <w:num w:numId="6">
    <w:abstractNumId w:val="12"/>
  </w:num>
  <w:num w:numId="7">
    <w:abstractNumId w:val="4"/>
  </w:num>
  <w:num w:numId="8">
    <w:abstractNumId w:val="8"/>
  </w:num>
  <w:num w:numId="9">
    <w:abstractNumId w:val="15"/>
  </w:num>
  <w:num w:numId="10">
    <w:abstractNumId w:val="3"/>
  </w:num>
  <w:num w:numId="11">
    <w:abstractNumId w:val="0"/>
  </w:num>
  <w:num w:numId="12">
    <w:abstractNumId w:val="2"/>
  </w:num>
  <w:num w:numId="13">
    <w:abstractNumId w:val="1"/>
  </w:num>
  <w:num w:numId="14">
    <w:abstractNumId w:val="16"/>
  </w:num>
  <w:num w:numId="15">
    <w:abstractNumId w:val="14"/>
  </w:num>
  <w:num w:numId="16">
    <w:abstractNumId w:val="6"/>
  </w:num>
  <w:num w:numId="17">
    <w:abstractNumId w:val="13"/>
  </w:num>
  <w:num w:numId="18">
    <w:abstractNumId w:val="5"/>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E2A"/>
    <w:rsid w:val="000046E2"/>
    <w:rsid w:val="00012C0C"/>
    <w:rsid w:val="00024099"/>
    <w:rsid w:val="00024865"/>
    <w:rsid w:val="000337E6"/>
    <w:rsid w:val="00051275"/>
    <w:rsid w:val="000815A1"/>
    <w:rsid w:val="000B442E"/>
    <w:rsid w:val="000B6E6F"/>
    <w:rsid w:val="000C6C07"/>
    <w:rsid w:val="000D61FD"/>
    <w:rsid w:val="000D6A59"/>
    <w:rsid w:val="000E3366"/>
    <w:rsid w:val="000E3E39"/>
    <w:rsid w:val="00106391"/>
    <w:rsid w:val="00126BEA"/>
    <w:rsid w:val="0012747F"/>
    <w:rsid w:val="00141CF2"/>
    <w:rsid w:val="00166077"/>
    <w:rsid w:val="00167FF5"/>
    <w:rsid w:val="00172D2C"/>
    <w:rsid w:val="00175C7F"/>
    <w:rsid w:val="00181EEE"/>
    <w:rsid w:val="001A27B8"/>
    <w:rsid w:val="001B0F74"/>
    <w:rsid w:val="001B3D48"/>
    <w:rsid w:val="001B65F3"/>
    <w:rsid w:val="001C1140"/>
    <w:rsid w:val="001D292F"/>
    <w:rsid w:val="001D7D5A"/>
    <w:rsid w:val="001E48EC"/>
    <w:rsid w:val="001E54FE"/>
    <w:rsid w:val="00252AD7"/>
    <w:rsid w:val="00254785"/>
    <w:rsid w:val="00267910"/>
    <w:rsid w:val="00276E2A"/>
    <w:rsid w:val="00285BAE"/>
    <w:rsid w:val="002A6549"/>
    <w:rsid w:val="002B2BD0"/>
    <w:rsid w:val="002C2397"/>
    <w:rsid w:val="002C34EB"/>
    <w:rsid w:val="002D2042"/>
    <w:rsid w:val="002D6E51"/>
    <w:rsid w:val="002D79C3"/>
    <w:rsid w:val="002E27F2"/>
    <w:rsid w:val="002E2955"/>
    <w:rsid w:val="002F0CDB"/>
    <w:rsid w:val="002F6DCE"/>
    <w:rsid w:val="00306EC7"/>
    <w:rsid w:val="00315115"/>
    <w:rsid w:val="003279B0"/>
    <w:rsid w:val="003441C7"/>
    <w:rsid w:val="0034455E"/>
    <w:rsid w:val="00351904"/>
    <w:rsid w:val="003661B2"/>
    <w:rsid w:val="0036770D"/>
    <w:rsid w:val="00371826"/>
    <w:rsid w:val="003758A0"/>
    <w:rsid w:val="003821E3"/>
    <w:rsid w:val="003A7BE2"/>
    <w:rsid w:val="003B13CF"/>
    <w:rsid w:val="003C777E"/>
    <w:rsid w:val="003D1162"/>
    <w:rsid w:val="003D2525"/>
    <w:rsid w:val="003E4BF6"/>
    <w:rsid w:val="003F37C7"/>
    <w:rsid w:val="004145D1"/>
    <w:rsid w:val="00446A45"/>
    <w:rsid w:val="00454140"/>
    <w:rsid w:val="00473AF8"/>
    <w:rsid w:val="00474B24"/>
    <w:rsid w:val="00486FBB"/>
    <w:rsid w:val="0049299E"/>
    <w:rsid w:val="004A5DB3"/>
    <w:rsid w:val="004B0C63"/>
    <w:rsid w:val="004B5514"/>
    <w:rsid w:val="004C205D"/>
    <w:rsid w:val="004E6A24"/>
    <w:rsid w:val="004F5576"/>
    <w:rsid w:val="00500048"/>
    <w:rsid w:val="0051483F"/>
    <w:rsid w:val="00522351"/>
    <w:rsid w:val="0053736E"/>
    <w:rsid w:val="0054165C"/>
    <w:rsid w:val="00550C01"/>
    <w:rsid w:val="00555959"/>
    <w:rsid w:val="00556617"/>
    <w:rsid w:val="005629A3"/>
    <w:rsid w:val="00562C32"/>
    <w:rsid w:val="00572236"/>
    <w:rsid w:val="005727C5"/>
    <w:rsid w:val="00584815"/>
    <w:rsid w:val="005C174E"/>
    <w:rsid w:val="005C6053"/>
    <w:rsid w:val="00603011"/>
    <w:rsid w:val="006140F0"/>
    <w:rsid w:val="00622AB1"/>
    <w:rsid w:val="006350B8"/>
    <w:rsid w:val="006427CB"/>
    <w:rsid w:val="006436A7"/>
    <w:rsid w:val="00651016"/>
    <w:rsid w:val="00654FCE"/>
    <w:rsid w:val="00672095"/>
    <w:rsid w:val="00673CC5"/>
    <w:rsid w:val="00675D73"/>
    <w:rsid w:val="00694E06"/>
    <w:rsid w:val="00697DC0"/>
    <w:rsid w:val="006C28DE"/>
    <w:rsid w:val="006E317D"/>
    <w:rsid w:val="00717E1F"/>
    <w:rsid w:val="00730E2A"/>
    <w:rsid w:val="00745E01"/>
    <w:rsid w:val="00765BCE"/>
    <w:rsid w:val="00770915"/>
    <w:rsid w:val="00786AA8"/>
    <w:rsid w:val="007A6CD8"/>
    <w:rsid w:val="007A6F2F"/>
    <w:rsid w:val="007B7B60"/>
    <w:rsid w:val="007C0CB1"/>
    <w:rsid w:val="007E0E38"/>
    <w:rsid w:val="007E0EAB"/>
    <w:rsid w:val="007E2C44"/>
    <w:rsid w:val="007F562E"/>
    <w:rsid w:val="00803B66"/>
    <w:rsid w:val="00812163"/>
    <w:rsid w:val="008121D0"/>
    <w:rsid w:val="00814F36"/>
    <w:rsid w:val="00847AD1"/>
    <w:rsid w:val="00851E48"/>
    <w:rsid w:val="008666DB"/>
    <w:rsid w:val="00874115"/>
    <w:rsid w:val="00884C18"/>
    <w:rsid w:val="008A1515"/>
    <w:rsid w:val="008C22E5"/>
    <w:rsid w:val="008C66A5"/>
    <w:rsid w:val="008C7B5A"/>
    <w:rsid w:val="008E7B54"/>
    <w:rsid w:val="008F041F"/>
    <w:rsid w:val="008F2CDC"/>
    <w:rsid w:val="008F6621"/>
    <w:rsid w:val="008F6709"/>
    <w:rsid w:val="008F6A10"/>
    <w:rsid w:val="00911B73"/>
    <w:rsid w:val="00917F43"/>
    <w:rsid w:val="009328DF"/>
    <w:rsid w:val="0093599A"/>
    <w:rsid w:val="00942466"/>
    <w:rsid w:val="00946F12"/>
    <w:rsid w:val="009510DE"/>
    <w:rsid w:val="00976F3A"/>
    <w:rsid w:val="009813AD"/>
    <w:rsid w:val="00986337"/>
    <w:rsid w:val="009A4B9C"/>
    <w:rsid w:val="009B6C36"/>
    <w:rsid w:val="009C6B15"/>
    <w:rsid w:val="009F1444"/>
    <w:rsid w:val="00A05E4E"/>
    <w:rsid w:val="00A1227D"/>
    <w:rsid w:val="00A46912"/>
    <w:rsid w:val="00A52835"/>
    <w:rsid w:val="00A52ACD"/>
    <w:rsid w:val="00A6163D"/>
    <w:rsid w:val="00A61E9C"/>
    <w:rsid w:val="00A63CA4"/>
    <w:rsid w:val="00A737BF"/>
    <w:rsid w:val="00A75EBB"/>
    <w:rsid w:val="00AA5BB6"/>
    <w:rsid w:val="00AA6CD4"/>
    <w:rsid w:val="00AC3057"/>
    <w:rsid w:val="00AC749F"/>
    <w:rsid w:val="00AE1C81"/>
    <w:rsid w:val="00AE7EA3"/>
    <w:rsid w:val="00AF2ABE"/>
    <w:rsid w:val="00AF3315"/>
    <w:rsid w:val="00B01DDD"/>
    <w:rsid w:val="00B02F63"/>
    <w:rsid w:val="00B1435D"/>
    <w:rsid w:val="00B4154A"/>
    <w:rsid w:val="00B44A99"/>
    <w:rsid w:val="00B54C7F"/>
    <w:rsid w:val="00B562CE"/>
    <w:rsid w:val="00B575FB"/>
    <w:rsid w:val="00B57B34"/>
    <w:rsid w:val="00B77872"/>
    <w:rsid w:val="00B811EC"/>
    <w:rsid w:val="00B909FB"/>
    <w:rsid w:val="00B91D99"/>
    <w:rsid w:val="00B933F3"/>
    <w:rsid w:val="00B97F99"/>
    <w:rsid w:val="00BB1CE3"/>
    <w:rsid w:val="00BB24BD"/>
    <w:rsid w:val="00BB251A"/>
    <w:rsid w:val="00BC14EA"/>
    <w:rsid w:val="00BD21FA"/>
    <w:rsid w:val="00BF6E7F"/>
    <w:rsid w:val="00C00B9C"/>
    <w:rsid w:val="00C17A96"/>
    <w:rsid w:val="00C22E2C"/>
    <w:rsid w:val="00C25A45"/>
    <w:rsid w:val="00C27116"/>
    <w:rsid w:val="00CA39F3"/>
    <w:rsid w:val="00CA3F58"/>
    <w:rsid w:val="00CA7763"/>
    <w:rsid w:val="00CC24E7"/>
    <w:rsid w:val="00CC6FF1"/>
    <w:rsid w:val="00CF2B19"/>
    <w:rsid w:val="00CF4E24"/>
    <w:rsid w:val="00D04AE8"/>
    <w:rsid w:val="00D106A2"/>
    <w:rsid w:val="00D339BB"/>
    <w:rsid w:val="00D41248"/>
    <w:rsid w:val="00D60E86"/>
    <w:rsid w:val="00D67852"/>
    <w:rsid w:val="00D86C4A"/>
    <w:rsid w:val="00D954DB"/>
    <w:rsid w:val="00DB5786"/>
    <w:rsid w:val="00DC510C"/>
    <w:rsid w:val="00DE196B"/>
    <w:rsid w:val="00DF14A9"/>
    <w:rsid w:val="00DF3455"/>
    <w:rsid w:val="00DF5920"/>
    <w:rsid w:val="00E012AF"/>
    <w:rsid w:val="00E02FFA"/>
    <w:rsid w:val="00E14670"/>
    <w:rsid w:val="00E16862"/>
    <w:rsid w:val="00E232CB"/>
    <w:rsid w:val="00E34872"/>
    <w:rsid w:val="00E71ECE"/>
    <w:rsid w:val="00E72A38"/>
    <w:rsid w:val="00EA310C"/>
    <w:rsid w:val="00EA32EF"/>
    <w:rsid w:val="00EA6A20"/>
    <w:rsid w:val="00EB6B2D"/>
    <w:rsid w:val="00EC29F1"/>
    <w:rsid w:val="00EE171D"/>
    <w:rsid w:val="00EE3766"/>
    <w:rsid w:val="00EE773A"/>
    <w:rsid w:val="00EF714D"/>
    <w:rsid w:val="00F21C11"/>
    <w:rsid w:val="00F22286"/>
    <w:rsid w:val="00F315F7"/>
    <w:rsid w:val="00F34054"/>
    <w:rsid w:val="00F61805"/>
    <w:rsid w:val="00F62F95"/>
    <w:rsid w:val="00F72EC1"/>
    <w:rsid w:val="00F7700A"/>
    <w:rsid w:val="00F801F2"/>
    <w:rsid w:val="00F8635E"/>
    <w:rsid w:val="00F874D2"/>
    <w:rsid w:val="00F87894"/>
    <w:rsid w:val="00F914FC"/>
    <w:rsid w:val="00F934A1"/>
    <w:rsid w:val="00FC048F"/>
    <w:rsid w:val="00FC2084"/>
    <w:rsid w:val="00FE1529"/>
    <w:rsid w:val="00FE4D93"/>
    <w:rsid w:val="00FE683F"/>
    <w:rsid w:val="00FF1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E30515-D1A3-4D70-BA04-2306B9FF7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E2A"/>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0E2A"/>
    <w:pPr>
      <w:tabs>
        <w:tab w:val="center" w:pos="4680"/>
        <w:tab w:val="right" w:pos="9360"/>
      </w:tabs>
    </w:pPr>
  </w:style>
  <w:style w:type="character" w:customStyle="1" w:styleId="HeaderChar">
    <w:name w:val="Header Char"/>
    <w:basedOn w:val="DefaultParagraphFont"/>
    <w:link w:val="Header"/>
    <w:uiPriority w:val="99"/>
    <w:rsid w:val="00730E2A"/>
  </w:style>
  <w:style w:type="paragraph" w:styleId="Footer">
    <w:name w:val="footer"/>
    <w:basedOn w:val="Normal"/>
    <w:link w:val="FooterChar"/>
    <w:uiPriority w:val="99"/>
    <w:unhideWhenUsed/>
    <w:rsid w:val="00730E2A"/>
    <w:pPr>
      <w:tabs>
        <w:tab w:val="center" w:pos="4680"/>
        <w:tab w:val="right" w:pos="9360"/>
      </w:tabs>
    </w:pPr>
  </w:style>
  <w:style w:type="character" w:customStyle="1" w:styleId="FooterChar">
    <w:name w:val="Footer Char"/>
    <w:basedOn w:val="DefaultParagraphFont"/>
    <w:link w:val="Footer"/>
    <w:uiPriority w:val="99"/>
    <w:rsid w:val="00730E2A"/>
  </w:style>
  <w:style w:type="paragraph" w:styleId="BalloonText">
    <w:name w:val="Balloon Text"/>
    <w:basedOn w:val="Normal"/>
    <w:link w:val="BalloonTextChar"/>
    <w:uiPriority w:val="99"/>
    <w:semiHidden/>
    <w:unhideWhenUsed/>
    <w:rsid w:val="00730E2A"/>
    <w:rPr>
      <w:rFonts w:ascii="Tahoma" w:hAnsi="Tahoma" w:cs="Tahoma"/>
      <w:sz w:val="16"/>
      <w:szCs w:val="16"/>
    </w:rPr>
  </w:style>
  <w:style w:type="character" w:customStyle="1" w:styleId="BalloonTextChar">
    <w:name w:val="Balloon Text Char"/>
    <w:basedOn w:val="DefaultParagraphFont"/>
    <w:link w:val="BalloonText"/>
    <w:uiPriority w:val="99"/>
    <w:semiHidden/>
    <w:rsid w:val="00730E2A"/>
    <w:rPr>
      <w:rFonts w:ascii="Tahoma" w:hAnsi="Tahoma" w:cs="Tahoma"/>
      <w:sz w:val="16"/>
      <w:szCs w:val="16"/>
    </w:rPr>
  </w:style>
  <w:style w:type="paragraph" w:styleId="FootnoteText">
    <w:name w:val="footnote text"/>
    <w:basedOn w:val="Normal"/>
    <w:link w:val="FootnoteTextChar"/>
    <w:uiPriority w:val="99"/>
    <w:semiHidden/>
    <w:unhideWhenUsed/>
    <w:rsid w:val="00CA39F3"/>
    <w:rPr>
      <w:sz w:val="20"/>
      <w:szCs w:val="20"/>
    </w:rPr>
  </w:style>
  <w:style w:type="character" w:customStyle="1" w:styleId="FootnoteTextChar">
    <w:name w:val="Footnote Text Char"/>
    <w:basedOn w:val="DefaultParagraphFont"/>
    <w:link w:val="FootnoteText"/>
    <w:uiPriority w:val="99"/>
    <w:semiHidden/>
    <w:rsid w:val="00CA39F3"/>
    <w:rPr>
      <w:rFonts w:eastAsia="Calibri" w:cs="Times New Roman"/>
      <w:sz w:val="20"/>
      <w:szCs w:val="20"/>
    </w:rPr>
  </w:style>
  <w:style w:type="character" w:styleId="FootnoteReference">
    <w:name w:val="footnote reference"/>
    <w:basedOn w:val="DefaultParagraphFont"/>
    <w:uiPriority w:val="99"/>
    <w:semiHidden/>
    <w:unhideWhenUsed/>
    <w:rsid w:val="00CA39F3"/>
    <w:rPr>
      <w:vertAlign w:val="superscript"/>
    </w:rPr>
  </w:style>
  <w:style w:type="paragraph" w:styleId="ListParagraph">
    <w:name w:val="List Paragraph"/>
    <w:basedOn w:val="Normal"/>
    <w:uiPriority w:val="34"/>
    <w:qFormat/>
    <w:rsid w:val="00F934A1"/>
    <w:pPr>
      <w:ind w:left="720"/>
      <w:contextualSpacing/>
    </w:pPr>
  </w:style>
  <w:style w:type="character" w:styleId="Hyperlink">
    <w:name w:val="Hyperlink"/>
    <w:basedOn w:val="DefaultParagraphFont"/>
    <w:uiPriority w:val="99"/>
    <w:unhideWhenUsed/>
    <w:rsid w:val="00B77872"/>
    <w:rPr>
      <w:color w:val="0000FF" w:themeColor="hyperlink"/>
      <w:u w:val="single"/>
    </w:rPr>
  </w:style>
  <w:style w:type="character" w:styleId="FollowedHyperlink">
    <w:name w:val="FollowedHyperlink"/>
    <w:basedOn w:val="DefaultParagraphFont"/>
    <w:uiPriority w:val="99"/>
    <w:semiHidden/>
    <w:unhideWhenUsed/>
    <w:rsid w:val="0049299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94579">
      <w:bodyDiv w:val="1"/>
      <w:marLeft w:val="0"/>
      <w:marRight w:val="0"/>
      <w:marTop w:val="0"/>
      <w:marBottom w:val="0"/>
      <w:divBdr>
        <w:top w:val="none" w:sz="0" w:space="0" w:color="auto"/>
        <w:left w:val="none" w:sz="0" w:space="0" w:color="auto"/>
        <w:bottom w:val="none" w:sz="0" w:space="0" w:color="auto"/>
        <w:right w:val="none" w:sz="0" w:space="0" w:color="auto"/>
      </w:divBdr>
      <w:divsChild>
        <w:div w:id="437065796">
          <w:marLeft w:val="0"/>
          <w:marRight w:val="0"/>
          <w:marTop w:val="0"/>
          <w:marBottom w:val="0"/>
          <w:divBdr>
            <w:top w:val="none" w:sz="0" w:space="0" w:color="auto"/>
            <w:left w:val="none" w:sz="0" w:space="0" w:color="auto"/>
            <w:bottom w:val="none" w:sz="0" w:space="0" w:color="auto"/>
            <w:right w:val="none" w:sz="0" w:space="0" w:color="auto"/>
          </w:divBdr>
          <w:divsChild>
            <w:div w:id="898590478">
              <w:marLeft w:val="0"/>
              <w:marRight w:val="0"/>
              <w:marTop w:val="0"/>
              <w:marBottom w:val="0"/>
              <w:divBdr>
                <w:top w:val="none" w:sz="0" w:space="0" w:color="auto"/>
                <w:left w:val="none" w:sz="0" w:space="0" w:color="auto"/>
                <w:bottom w:val="none" w:sz="0" w:space="0" w:color="auto"/>
                <w:right w:val="none" w:sz="0" w:space="0" w:color="auto"/>
              </w:divBdr>
              <w:divsChild>
                <w:div w:id="675618589">
                  <w:marLeft w:val="0"/>
                  <w:marRight w:val="0"/>
                  <w:marTop w:val="0"/>
                  <w:marBottom w:val="0"/>
                  <w:divBdr>
                    <w:top w:val="none" w:sz="0" w:space="0" w:color="auto"/>
                    <w:left w:val="none" w:sz="0" w:space="0" w:color="auto"/>
                    <w:bottom w:val="none" w:sz="0" w:space="0" w:color="auto"/>
                    <w:right w:val="none" w:sz="0" w:space="0" w:color="auto"/>
                  </w:divBdr>
                  <w:divsChild>
                    <w:div w:id="10874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901742">
      <w:bodyDiv w:val="1"/>
      <w:marLeft w:val="0"/>
      <w:marRight w:val="0"/>
      <w:marTop w:val="0"/>
      <w:marBottom w:val="0"/>
      <w:divBdr>
        <w:top w:val="none" w:sz="0" w:space="0" w:color="auto"/>
        <w:left w:val="none" w:sz="0" w:space="0" w:color="auto"/>
        <w:bottom w:val="none" w:sz="0" w:space="0" w:color="auto"/>
        <w:right w:val="none" w:sz="0" w:space="0" w:color="auto"/>
      </w:divBdr>
    </w:div>
    <w:div w:id="605964048">
      <w:bodyDiv w:val="1"/>
      <w:marLeft w:val="0"/>
      <w:marRight w:val="0"/>
      <w:marTop w:val="0"/>
      <w:marBottom w:val="0"/>
      <w:divBdr>
        <w:top w:val="none" w:sz="0" w:space="0" w:color="auto"/>
        <w:left w:val="none" w:sz="0" w:space="0" w:color="auto"/>
        <w:bottom w:val="none" w:sz="0" w:space="0" w:color="auto"/>
        <w:right w:val="none" w:sz="0" w:space="0" w:color="auto"/>
      </w:divBdr>
    </w:div>
    <w:div w:id="777456139">
      <w:bodyDiv w:val="1"/>
      <w:marLeft w:val="0"/>
      <w:marRight w:val="0"/>
      <w:marTop w:val="0"/>
      <w:marBottom w:val="0"/>
      <w:divBdr>
        <w:top w:val="none" w:sz="0" w:space="0" w:color="auto"/>
        <w:left w:val="none" w:sz="0" w:space="0" w:color="auto"/>
        <w:bottom w:val="none" w:sz="0" w:space="0" w:color="auto"/>
        <w:right w:val="none" w:sz="0" w:space="0" w:color="auto"/>
      </w:divBdr>
      <w:divsChild>
        <w:div w:id="1950311979">
          <w:marLeft w:val="0"/>
          <w:marRight w:val="0"/>
          <w:marTop w:val="0"/>
          <w:marBottom w:val="0"/>
          <w:divBdr>
            <w:top w:val="none" w:sz="0" w:space="0" w:color="auto"/>
            <w:left w:val="none" w:sz="0" w:space="0" w:color="auto"/>
            <w:bottom w:val="none" w:sz="0" w:space="0" w:color="auto"/>
            <w:right w:val="none" w:sz="0" w:space="0" w:color="auto"/>
          </w:divBdr>
          <w:divsChild>
            <w:div w:id="344093934">
              <w:marLeft w:val="0"/>
              <w:marRight w:val="0"/>
              <w:marTop w:val="0"/>
              <w:marBottom w:val="0"/>
              <w:divBdr>
                <w:top w:val="none" w:sz="0" w:space="0" w:color="auto"/>
                <w:left w:val="none" w:sz="0" w:space="0" w:color="auto"/>
                <w:bottom w:val="none" w:sz="0" w:space="0" w:color="auto"/>
                <w:right w:val="none" w:sz="0" w:space="0" w:color="auto"/>
              </w:divBdr>
              <w:divsChild>
                <w:div w:id="412708088">
                  <w:marLeft w:val="0"/>
                  <w:marRight w:val="0"/>
                  <w:marTop w:val="0"/>
                  <w:marBottom w:val="0"/>
                  <w:divBdr>
                    <w:top w:val="none" w:sz="0" w:space="0" w:color="auto"/>
                    <w:left w:val="none" w:sz="0" w:space="0" w:color="auto"/>
                    <w:bottom w:val="none" w:sz="0" w:space="0" w:color="auto"/>
                    <w:right w:val="none" w:sz="0" w:space="0" w:color="auto"/>
                  </w:divBdr>
                  <w:divsChild>
                    <w:div w:id="263071871">
                      <w:marLeft w:val="-225"/>
                      <w:marRight w:val="-225"/>
                      <w:marTop w:val="0"/>
                      <w:marBottom w:val="0"/>
                      <w:divBdr>
                        <w:top w:val="none" w:sz="0" w:space="0" w:color="auto"/>
                        <w:left w:val="none" w:sz="0" w:space="0" w:color="auto"/>
                        <w:bottom w:val="none" w:sz="0" w:space="0" w:color="auto"/>
                        <w:right w:val="none" w:sz="0" w:space="0" w:color="auto"/>
                      </w:divBdr>
                      <w:divsChild>
                        <w:div w:id="334264913">
                          <w:marLeft w:val="0"/>
                          <w:marRight w:val="0"/>
                          <w:marTop w:val="0"/>
                          <w:marBottom w:val="0"/>
                          <w:divBdr>
                            <w:top w:val="none" w:sz="0" w:space="0" w:color="auto"/>
                            <w:left w:val="none" w:sz="0" w:space="0" w:color="auto"/>
                            <w:bottom w:val="none" w:sz="0" w:space="0" w:color="auto"/>
                            <w:right w:val="none" w:sz="0" w:space="0" w:color="auto"/>
                          </w:divBdr>
                          <w:divsChild>
                            <w:div w:id="1180923092">
                              <w:marLeft w:val="0"/>
                              <w:marRight w:val="0"/>
                              <w:marTop w:val="0"/>
                              <w:marBottom w:val="0"/>
                              <w:divBdr>
                                <w:top w:val="none" w:sz="0" w:space="0" w:color="auto"/>
                                <w:left w:val="none" w:sz="0" w:space="0" w:color="auto"/>
                                <w:bottom w:val="none" w:sz="0" w:space="0" w:color="auto"/>
                                <w:right w:val="none" w:sz="0" w:space="0" w:color="auto"/>
                              </w:divBdr>
                              <w:divsChild>
                                <w:div w:id="577011219">
                                  <w:marLeft w:val="-225"/>
                                  <w:marRight w:val="-225"/>
                                  <w:marTop w:val="0"/>
                                  <w:marBottom w:val="0"/>
                                  <w:divBdr>
                                    <w:top w:val="none" w:sz="0" w:space="0" w:color="auto"/>
                                    <w:left w:val="none" w:sz="0" w:space="0" w:color="auto"/>
                                    <w:bottom w:val="none" w:sz="0" w:space="0" w:color="auto"/>
                                    <w:right w:val="none" w:sz="0" w:space="0" w:color="auto"/>
                                  </w:divBdr>
                                  <w:divsChild>
                                    <w:div w:id="5599761">
                                      <w:marLeft w:val="0"/>
                                      <w:marRight w:val="0"/>
                                      <w:marTop w:val="0"/>
                                      <w:marBottom w:val="0"/>
                                      <w:divBdr>
                                        <w:top w:val="none" w:sz="0" w:space="0" w:color="auto"/>
                                        <w:left w:val="none" w:sz="0" w:space="0" w:color="auto"/>
                                        <w:bottom w:val="none" w:sz="0" w:space="0" w:color="auto"/>
                                        <w:right w:val="none" w:sz="0" w:space="0" w:color="auto"/>
                                      </w:divBdr>
                                      <w:divsChild>
                                        <w:div w:id="19200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4638252">
      <w:bodyDiv w:val="1"/>
      <w:marLeft w:val="0"/>
      <w:marRight w:val="0"/>
      <w:marTop w:val="0"/>
      <w:marBottom w:val="0"/>
      <w:divBdr>
        <w:top w:val="none" w:sz="0" w:space="0" w:color="auto"/>
        <w:left w:val="none" w:sz="0" w:space="0" w:color="auto"/>
        <w:bottom w:val="none" w:sz="0" w:space="0" w:color="auto"/>
        <w:right w:val="none" w:sz="0" w:space="0" w:color="auto"/>
      </w:divBdr>
    </w:div>
    <w:div w:id="1793591547">
      <w:bodyDiv w:val="1"/>
      <w:marLeft w:val="0"/>
      <w:marRight w:val="0"/>
      <w:marTop w:val="0"/>
      <w:marBottom w:val="0"/>
      <w:divBdr>
        <w:top w:val="none" w:sz="0" w:space="0" w:color="auto"/>
        <w:left w:val="none" w:sz="0" w:space="0" w:color="auto"/>
        <w:bottom w:val="none" w:sz="0" w:space="0" w:color="auto"/>
        <w:right w:val="none" w:sz="0" w:space="0" w:color="auto"/>
      </w:divBdr>
      <w:divsChild>
        <w:div w:id="1241721491">
          <w:marLeft w:val="0"/>
          <w:marRight w:val="0"/>
          <w:marTop w:val="0"/>
          <w:marBottom w:val="0"/>
          <w:divBdr>
            <w:top w:val="none" w:sz="0" w:space="0" w:color="auto"/>
            <w:left w:val="none" w:sz="0" w:space="0" w:color="auto"/>
            <w:bottom w:val="none" w:sz="0" w:space="0" w:color="auto"/>
            <w:right w:val="none" w:sz="0" w:space="0" w:color="auto"/>
          </w:divBdr>
          <w:divsChild>
            <w:div w:id="725301057">
              <w:marLeft w:val="0"/>
              <w:marRight w:val="0"/>
              <w:marTop w:val="0"/>
              <w:marBottom w:val="0"/>
              <w:divBdr>
                <w:top w:val="none" w:sz="0" w:space="0" w:color="auto"/>
                <w:left w:val="none" w:sz="0" w:space="0" w:color="auto"/>
                <w:bottom w:val="none" w:sz="0" w:space="0" w:color="auto"/>
                <w:right w:val="none" w:sz="0" w:space="0" w:color="auto"/>
              </w:divBdr>
              <w:divsChild>
                <w:div w:id="1350983828">
                  <w:marLeft w:val="0"/>
                  <w:marRight w:val="0"/>
                  <w:marTop w:val="0"/>
                  <w:marBottom w:val="0"/>
                  <w:divBdr>
                    <w:top w:val="none" w:sz="0" w:space="0" w:color="auto"/>
                    <w:left w:val="none" w:sz="0" w:space="0" w:color="auto"/>
                    <w:bottom w:val="none" w:sz="0" w:space="0" w:color="auto"/>
                    <w:right w:val="none" w:sz="0" w:space="0" w:color="auto"/>
                  </w:divBdr>
                  <w:divsChild>
                    <w:div w:id="580064439">
                      <w:marLeft w:val="-225"/>
                      <w:marRight w:val="-225"/>
                      <w:marTop w:val="0"/>
                      <w:marBottom w:val="0"/>
                      <w:divBdr>
                        <w:top w:val="none" w:sz="0" w:space="0" w:color="auto"/>
                        <w:left w:val="none" w:sz="0" w:space="0" w:color="auto"/>
                        <w:bottom w:val="none" w:sz="0" w:space="0" w:color="auto"/>
                        <w:right w:val="none" w:sz="0" w:space="0" w:color="auto"/>
                      </w:divBdr>
                      <w:divsChild>
                        <w:div w:id="1964001306">
                          <w:marLeft w:val="0"/>
                          <w:marRight w:val="0"/>
                          <w:marTop w:val="0"/>
                          <w:marBottom w:val="0"/>
                          <w:divBdr>
                            <w:top w:val="none" w:sz="0" w:space="0" w:color="auto"/>
                            <w:left w:val="none" w:sz="0" w:space="0" w:color="auto"/>
                            <w:bottom w:val="none" w:sz="0" w:space="0" w:color="auto"/>
                            <w:right w:val="none" w:sz="0" w:space="0" w:color="auto"/>
                          </w:divBdr>
                          <w:divsChild>
                            <w:div w:id="1016620342">
                              <w:marLeft w:val="0"/>
                              <w:marRight w:val="0"/>
                              <w:marTop w:val="0"/>
                              <w:marBottom w:val="0"/>
                              <w:divBdr>
                                <w:top w:val="none" w:sz="0" w:space="0" w:color="auto"/>
                                <w:left w:val="none" w:sz="0" w:space="0" w:color="auto"/>
                                <w:bottom w:val="none" w:sz="0" w:space="0" w:color="auto"/>
                                <w:right w:val="none" w:sz="0" w:space="0" w:color="auto"/>
                              </w:divBdr>
                              <w:divsChild>
                                <w:div w:id="1612009873">
                                  <w:marLeft w:val="-225"/>
                                  <w:marRight w:val="-225"/>
                                  <w:marTop w:val="0"/>
                                  <w:marBottom w:val="0"/>
                                  <w:divBdr>
                                    <w:top w:val="none" w:sz="0" w:space="0" w:color="auto"/>
                                    <w:left w:val="none" w:sz="0" w:space="0" w:color="auto"/>
                                    <w:bottom w:val="none" w:sz="0" w:space="0" w:color="auto"/>
                                    <w:right w:val="none" w:sz="0" w:space="0" w:color="auto"/>
                                  </w:divBdr>
                                  <w:divsChild>
                                    <w:div w:id="100079250">
                                      <w:marLeft w:val="0"/>
                                      <w:marRight w:val="0"/>
                                      <w:marTop w:val="0"/>
                                      <w:marBottom w:val="0"/>
                                      <w:divBdr>
                                        <w:top w:val="none" w:sz="0" w:space="0" w:color="auto"/>
                                        <w:left w:val="none" w:sz="0" w:space="0" w:color="auto"/>
                                        <w:bottom w:val="none" w:sz="0" w:space="0" w:color="auto"/>
                                        <w:right w:val="none" w:sz="0" w:space="0" w:color="auto"/>
                                      </w:divBdr>
                                      <w:divsChild>
                                        <w:div w:id="113240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2960938">
      <w:bodyDiv w:val="1"/>
      <w:marLeft w:val="0"/>
      <w:marRight w:val="0"/>
      <w:marTop w:val="0"/>
      <w:marBottom w:val="0"/>
      <w:divBdr>
        <w:top w:val="none" w:sz="0" w:space="0" w:color="auto"/>
        <w:left w:val="none" w:sz="0" w:space="0" w:color="auto"/>
        <w:bottom w:val="none" w:sz="0" w:space="0" w:color="auto"/>
        <w:right w:val="none" w:sz="0" w:space="0" w:color="auto"/>
      </w:divBdr>
      <w:divsChild>
        <w:div w:id="374741574">
          <w:marLeft w:val="0"/>
          <w:marRight w:val="0"/>
          <w:marTop w:val="0"/>
          <w:marBottom w:val="0"/>
          <w:divBdr>
            <w:top w:val="none" w:sz="0" w:space="0" w:color="auto"/>
            <w:left w:val="none" w:sz="0" w:space="0" w:color="auto"/>
            <w:bottom w:val="none" w:sz="0" w:space="0" w:color="auto"/>
            <w:right w:val="none" w:sz="0" w:space="0" w:color="auto"/>
          </w:divBdr>
          <w:divsChild>
            <w:div w:id="2005081544">
              <w:marLeft w:val="0"/>
              <w:marRight w:val="0"/>
              <w:marTop w:val="0"/>
              <w:marBottom w:val="0"/>
              <w:divBdr>
                <w:top w:val="none" w:sz="0" w:space="0" w:color="auto"/>
                <w:left w:val="none" w:sz="0" w:space="0" w:color="auto"/>
                <w:bottom w:val="none" w:sz="0" w:space="0" w:color="auto"/>
                <w:right w:val="none" w:sz="0" w:space="0" w:color="auto"/>
              </w:divBdr>
              <w:divsChild>
                <w:div w:id="884678815">
                  <w:marLeft w:val="0"/>
                  <w:marRight w:val="0"/>
                  <w:marTop w:val="0"/>
                  <w:marBottom w:val="0"/>
                  <w:divBdr>
                    <w:top w:val="none" w:sz="0" w:space="0" w:color="auto"/>
                    <w:left w:val="none" w:sz="0" w:space="0" w:color="auto"/>
                    <w:bottom w:val="none" w:sz="0" w:space="0" w:color="auto"/>
                    <w:right w:val="none" w:sz="0" w:space="0" w:color="auto"/>
                  </w:divBdr>
                  <w:divsChild>
                    <w:div w:id="630597896">
                      <w:marLeft w:val="-225"/>
                      <w:marRight w:val="-225"/>
                      <w:marTop w:val="0"/>
                      <w:marBottom w:val="0"/>
                      <w:divBdr>
                        <w:top w:val="none" w:sz="0" w:space="0" w:color="auto"/>
                        <w:left w:val="none" w:sz="0" w:space="0" w:color="auto"/>
                        <w:bottom w:val="none" w:sz="0" w:space="0" w:color="auto"/>
                        <w:right w:val="none" w:sz="0" w:space="0" w:color="auto"/>
                      </w:divBdr>
                      <w:divsChild>
                        <w:div w:id="25059282">
                          <w:marLeft w:val="0"/>
                          <w:marRight w:val="0"/>
                          <w:marTop w:val="0"/>
                          <w:marBottom w:val="0"/>
                          <w:divBdr>
                            <w:top w:val="none" w:sz="0" w:space="0" w:color="auto"/>
                            <w:left w:val="none" w:sz="0" w:space="0" w:color="auto"/>
                            <w:bottom w:val="none" w:sz="0" w:space="0" w:color="auto"/>
                            <w:right w:val="none" w:sz="0" w:space="0" w:color="auto"/>
                          </w:divBdr>
                          <w:divsChild>
                            <w:div w:id="1622495267">
                              <w:marLeft w:val="0"/>
                              <w:marRight w:val="0"/>
                              <w:marTop w:val="0"/>
                              <w:marBottom w:val="0"/>
                              <w:divBdr>
                                <w:top w:val="none" w:sz="0" w:space="0" w:color="auto"/>
                                <w:left w:val="none" w:sz="0" w:space="0" w:color="auto"/>
                                <w:bottom w:val="none" w:sz="0" w:space="0" w:color="auto"/>
                                <w:right w:val="none" w:sz="0" w:space="0" w:color="auto"/>
                              </w:divBdr>
                              <w:divsChild>
                                <w:div w:id="1642348901">
                                  <w:marLeft w:val="-225"/>
                                  <w:marRight w:val="-225"/>
                                  <w:marTop w:val="0"/>
                                  <w:marBottom w:val="0"/>
                                  <w:divBdr>
                                    <w:top w:val="none" w:sz="0" w:space="0" w:color="auto"/>
                                    <w:left w:val="none" w:sz="0" w:space="0" w:color="auto"/>
                                    <w:bottom w:val="none" w:sz="0" w:space="0" w:color="auto"/>
                                    <w:right w:val="none" w:sz="0" w:space="0" w:color="auto"/>
                                  </w:divBdr>
                                  <w:divsChild>
                                    <w:div w:id="1521889993">
                                      <w:marLeft w:val="0"/>
                                      <w:marRight w:val="0"/>
                                      <w:marTop w:val="0"/>
                                      <w:marBottom w:val="0"/>
                                      <w:divBdr>
                                        <w:top w:val="none" w:sz="0" w:space="0" w:color="auto"/>
                                        <w:left w:val="none" w:sz="0" w:space="0" w:color="auto"/>
                                        <w:bottom w:val="none" w:sz="0" w:space="0" w:color="auto"/>
                                        <w:right w:val="none" w:sz="0" w:space="0" w:color="auto"/>
                                      </w:divBdr>
                                      <w:divsChild>
                                        <w:div w:id="179844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814407">
      <w:bodyDiv w:val="1"/>
      <w:marLeft w:val="0"/>
      <w:marRight w:val="0"/>
      <w:marTop w:val="0"/>
      <w:marBottom w:val="0"/>
      <w:divBdr>
        <w:top w:val="none" w:sz="0" w:space="0" w:color="auto"/>
        <w:left w:val="none" w:sz="0" w:space="0" w:color="auto"/>
        <w:bottom w:val="none" w:sz="0" w:space="0" w:color="auto"/>
        <w:right w:val="none" w:sz="0" w:space="0" w:color="auto"/>
      </w:divBdr>
    </w:div>
    <w:div w:id="1958561779">
      <w:bodyDiv w:val="1"/>
      <w:marLeft w:val="0"/>
      <w:marRight w:val="0"/>
      <w:marTop w:val="0"/>
      <w:marBottom w:val="0"/>
      <w:divBdr>
        <w:top w:val="none" w:sz="0" w:space="0" w:color="auto"/>
        <w:left w:val="none" w:sz="0" w:space="0" w:color="auto"/>
        <w:bottom w:val="none" w:sz="0" w:space="0" w:color="auto"/>
        <w:right w:val="none" w:sz="0" w:space="0" w:color="auto"/>
      </w:divBdr>
    </w:div>
    <w:div w:id="1972438818">
      <w:bodyDiv w:val="1"/>
      <w:marLeft w:val="0"/>
      <w:marRight w:val="0"/>
      <w:marTop w:val="0"/>
      <w:marBottom w:val="0"/>
      <w:divBdr>
        <w:top w:val="none" w:sz="0" w:space="0" w:color="auto"/>
        <w:left w:val="none" w:sz="0" w:space="0" w:color="auto"/>
        <w:bottom w:val="none" w:sz="0" w:space="0" w:color="auto"/>
        <w:right w:val="none" w:sz="0" w:space="0" w:color="auto"/>
      </w:divBdr>
      <w:divsChild>
        <w:div w:id="2113547080">
          <w:marLeft w:val="0"/>
          <w:marRight w:val="0"/>
          <w:marTop w:val="0"/>
          <w:marBottom w:val="0"/>
          <w:divBdr>
            <w:top w:val="none" w:sz="0" w:space="0" w:color="auto"/>
            <w:left w:val="none" w:sz="0" w:space="0" w:color="auto"/>
            <w:bottom w:val="none" w:sz="0" w:space="0" w:color="auto"/>
            <w:right w:val="none" w:sz="0" w:space="0" w:color="auto"/>
          </w:divBdr>
          <w:divsChild>
            <w:div w:id="111753477">
              <w:marLeft w:val="0"/>
              <w:marRight w:val="0"/>
              <w:marTop w:val="0"/>
              <w:marBottom w:val="0"/>
              <w:divBdr>
                <w:top w:val="none" w:sz="0" w:space="0" w:color="auto"/>
                <w:left w:val="none" w:sz="0" w:space="0" w:color="auto"/>
                <w:bottom w:val="none" w:sz="0" w:space="0" w:color="auto"/>
                <w:right w:val="none" w:sz="0" w:space="0" w:color="auto"/>
              </w:divBdr>
              <w:divsChild>
                <w:div w:id="1269510371">
                  <w:marLeft w:val="0"/>
                  <w:marRight w:val="0"/>
                  <w:marTop w:val="0"/>
                  <w:marBottom w:val="0"/>
                  <w:divBdr>
                    <w:top w:val="none" w:sz="0" w:space="0" w:color="auto"/>
                    <w:left w:val="none" w:sz="0" w:space="0" w:color="auto"/>
                    <w:bottom w:val="none" w:sz="0" w:space="0" w:color="auto"/>
                    <w:right w:val="none" w:sz="0" w:space="0" w:color="auto"/>
                  </w:divBdr>
                  <w:divsChild>
                    <w:div w:id="1633972988">
                      <w:marLeft w:val="-225"/>
                      <w:marRight w:val="-225"/>
                      <w:marTop w:val="0"/>
                      <w:marBottom w:val="0"/>
                      <w:divBdr>
                        <w:top w:val="none" w:sz="0" w:space="0" w:color="auto"/>
                        <w:left w:val="none" w:sz="0" w:space="0" w:color="auto"/>
                        <w:bottom w:val="none" w:sz="0" w:space="0" w:color="auto"/>
                        <w:right w:val="none" w:sz="0" w:space="0" w:color="auto"/>
                      </w:divBdr>
                      <w:divsChild>
                        <w:div w:id="2079084025">
                          <w:marLeft w:val="0"/>
                          <w:marRight w:val="0"/>
                          <w:marTop w:val="0"/>
                          <w:marBottom w:val="0"/>
                          <w:divBdr>
                            <w:top w:val="none" w:sz="0" w:space="0" w:color="auto"/>
                            <w:left w:val="none" w:sz="0" w:space="0" w:color="auto"/>
                            <w:bottom w:val="none" w:sz="0" w:space="0" w:color="auto"/>
                            <w:right w:val="none" w:sz="0" w:space="0" w:color="auto"/>
                          </w:divBdr>
                          <w:divsChild>
                            <w:div w:id="649553303">
                              <w:marLeft w:val="0"/>
                              <w:marRight w:val="0"/>
                              <w:marTop w:val="0"/>
                              <w:marBottom w:val="0"/>
                              <w:divBdr>
                                <w:top w:val="none" w:sz="0" w:space="0" w:color="auto"/>
                                <w:left w:val="none" w:sz="0" w:space="0" w:color="auto"/>
                                <w:bottom w:val="none" w:sz="0" w:space="0" w:color="auto"/>
                                <w:right w:val="none" w:sz="0" w:space="0" w:color="auto"/>
                              </w:divBdr>
                              <w:divsChild>
                                <w:div w:id="2027831475">
                                  <w:marLeft w:val="-225"/>
                                  <w:marRight w:val="-225"/>
                                  <w:marTop w:val="0"/>
                                  <w:marBottom w:val="0"/>
                                  <w:divBdr>
                                    <w:top w:val="none" w:sz="0" w:space="0" w:color="auto"/>
                                    <w:left w:val="none" w:sz="0" w:space="0" w:color="auto"/>
                                    <w:bottom w:val="none" w:sz="0" w:space="0" w:color="auto"/>
                                    <w:right w:val="none" w:sz="0" w:space="0" w:color="auto"/>
                                  </w:divBdr>
                                  <w:divsChild>
                                    <w:div w:id="1864055281">
                                      <w:marLeft w:val="0"/>
                                      <w:marRight w:val="0"/>
                                      <w:marTop w:val="0"/>
                                      <w:marBottom w:val="0"/>
                                      <w:divBdr>
                                        <w:top w:val="none" w:sz="0" w:space="0" w:color="auto"/>
                                        <w:left w:val="none" w:sz="0" w:space="0" w:color="auto"/>
                                        <w:bottom w:val="none" w:sz="0" w:space="0" w:color="auto"/>
                                        <w:right w:val="none" w:sz="0" w:space="0" w:color="auto"/>
                                      </w:divBdr>
                                      <w:divsChild>
                                        <w:div w:id="129698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4663266">
      <w:bodyDiv w:val="1"/>
      <w:marLeft w:val="0"/>
      <w:marRight w:val="0"/>
      <w:marTop w:val="0"/>
      <w:marBottom w:val="0"/>
      <w:divBdr>
        <w:top w:val="none" w:sz="0" w:space="0" w:color="auto"/>
        <w:left w:val="none" w:sz="0" w:space="0" w:color="auto"/>
        <w:bottom w:val="none" w:sz="0" w:space="0" w:color="auto"/>
        <w:right w:val="none" w:sz="0" w:space="0" w:color="auto"/>
      </w:divBdr>
      <w:divsChild>
        <w:div w:id="1367096821">
          <w:marLeft w:val="0"/>
          <w:marRight w:val="0"/>
          <w:marTop w:val="0"/>
          <w:marBottom w:val="0"/>
          <w:divBdr>
            <w:top w:val="none" w:sz="0" w:space="0" w:color="auto"/>
            <w:left w:val="none" w:sz="0" w:space="0" w:color="auto"/>
            <w:bottom w:val="none" w:sz="0" w:space="0" w:color="auto"/>
            <w:right w:val="none" w:sz="0" w:space="0" w:color="auto"/>
          </w:divBdr>
          <w:divsChild>
            <w:div w:id="1017924809">
              <w:marLeft w:val="0"/>
              <w:marRight w:val="0"/>
              <w:marTop w:val="0"/>
              <w:marBottom w:val="0"/>
              <w:divBdr>
                <w:top w:val="none" w:sz="0" w:space="0" w:color="auto"/>
                <w:left w:val="none" w:sz="0" w:space="0" w:color="auto"/>
                <w:bottom w:val="none" w:sz="0" w:space="0" w:color="auto"/>
                <w:right w:val="none" w:sz="0" w:space="0" w:color="auto"/>
              </w:divBdr>
              <w:divsChild>
                <w:div w:id="1762139129">
                  <w:marLeft w:val="0"/>
                  <w:marRight w:val="0"/>
                  <w:marTop w:val="0"/>
                  <w:marBottom w:val="0"/>
                  <w:divBdr>
                    <w:top w:val="none" w:sz="0" w:space="0" w:color="auto"/>
                    <w:left w:val="none" w:sz="0" w:space="0" w:color="auto"/>
                    <w:bottom w:val="none" w:sz="0" w:space="0" w:color="auto"/>
                    <w:right w:val="none" w:sz="0" w:space="0" w:color="auto"/>
                  </w:divBdr>
                  <w:divsChild>
                    <w:div w:id="636956885">
                      <w:marLeft w:val="-225"/>
                      <w:marRight w:val="-225"/>
                      <w:marTop w:val="0"/>
                      <w:marBottom w:val="0"/>
                      <w:divBdr>
                        <w:top w:val="none" w:sz="0" w:space="0" w:color="auto"/>
                        <w:left w:val="none" w:sz="0" w:space="0" w:color="auto"/>
                        <w:bottom w:val="none" w:sz="0" w:space="0" w:color="auto"/>
                        <w:right w:val="none" w:sz="0" w:space="0" w:color="auto"/>
                      </w:divBdr>
                      <w:divsChild>
                        <w:div w:id="1042902275">
                          <w:marLeft w:val="0"/>
                          <w:marRight w:val="0"/>
                          <w:marTop w:val="0"/>
                          <w:marBottom w:val="0"/>
                          <w:divBdr>
                            <w:top w:val="none" w:sz="0" w:space="0" w:color="auto"/>
                            <w:left w:val="none" w:sz="0" w:space="0" w:color="auto"/>
                            <w:bottom w:val="none" w:sz="0" w:space="0" w:color="auto"/>
                            <w:right w:val="none" w:sz="0" w:space="0" w:color="auto"/>
                          </w:divBdr>
                          <w:divsChild>
                            <w:div w:id="1416047404">
                              <w:marLeft w:val="0"/>
                              <w:marRight w:val="0"/>
                              <w:marTop w:val="0"/>
                              <w:marBottom w:val="0"/>
                              <w:divBdr>
                                <w:top w:val="none" w:sz="0" w:space="0" w:color="auto"/>
                                <w:left w:val="none" w:sz="0" w:space="0" w:color="auto"/>
                                <w:bottom w:val="none" w:sz="0" w:space="0" w:color="auto"/>
                                <w:right w:val="none" w:sz="0" w:space="0" w:color="auto"/>
                              </w:divBdr>
                              <w:divsChild>
                                <w:div w:id="986200454">
                                  <w:marLeft w:val="-225"/>
                                  <w:marRight w:val="-225"/>
                                  <w:marTop w:val="0"/>
                                  <w:marBottom w:val="0"/>
                                  <w:divBdr>
                                    <w:top w:val="none" w:sz="0" w:space="0" w:color="auto"/>
                                    <w:left w:val="none" w:sz="0" w:space="0" w:color="auto"/>
                                    <w:bottom w:val="none" w:sz="0" w:space="0" w:color="auto"/>
                                    <w:right w:val="none" w:sz="0" w:space="0" w:color="auto"/>
                                  </w:divBdr>
                                  <w:divsChild>
                                    <w:div w:id="425469602">
                                      <w:marLeft w:val="0"/>
                                      <w:marRight w:val="0"/>
                                      <w:marTop w:val="0"/>
                                      <w:marBottom w:val="0"/>
                                      <w:divBdr>
                                        <w:top w:val="none" w:sz="0" w:space="0" w:color="auto"/>
                                        <w:left w:val="none" w:sz="0" w:space="0" w:color="auto"/>
                                        <w:bottom w:val="none" w:sz="0" w:space="0" w:color="auto"/>
                                        <w:right w:val="none" w:sz="0" w:space="0" w:color="auto"/>
                                      </w:divBdr>
                                      <w:divsChild>
                                        <w:div w:id="175585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hhs.gov/sites/default/files/1557-nprm-hhs.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8D3ED9-1D60-4472-A105-64D7D7D4E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1523</Words>
  <Characters>8682</Characters>
  <Application>Microsoft Office Word</Application>
  <DocSecurity>0</DocSecurity>
  <PresentationFormat>12|.DOCX</PresentationFormat>
  <Lines>72</Lines>
  <Paragraphs>20</Paragraphs>
  <ScaleCrop>false</ScaleCrop>
  <HeadingPairs>
    <vt:vector size="2" baseType="variant">
      <vt:variant>
        <vt:lpstr>Title</vt:lpstr>
      </vt:variant>
      <vt:variant>
        <vt:i4>1</vt:i4>
      </vt:variant>
    </vt:vector>
  </HeadingPairs>
  <TitlesOfParts>
    <vt:vector size="1" baseType="lpstr">
      <vt:lpstr>ACRM Section 1557 Nondiscrimination Proposed Rule Memo (D0839071).DOCX</vt:lpstr>
    </vt:vector>
  </TitlesOfParts>
  <Company/>
  <LinksUpToDate>false</LinksUpToDate>
  <CharactersWithSpaces>10185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ACRM Section 1557 Nondiscrimination Proposed Rule Memo (D0839071).DOCX</dc:title>
  <dc:subject>wdNOSTAMP</dc:subject>
  <dc:creator>Peter Thomas</dc:creator>
  <cp:keywords/>
  <dc:description>DO NOT STAMP</dc:description>
  <cp:lastModifiedBy>Cindy Robinson</cp:lastModifiedBy>
  <cp:revision>2</cp:revision>
  <cp:lastPrinted>2018-04-04T14:24:00Z</cp:lastPrinted>
  <dcterms:created xsi:type="dcterms:W3CDTF">2019-06-19T16:57:00Z</dcterms:created>
  <dcterms:modified xsi:type="dcterms:W3CDTF">2019-06-19T16:57:00Z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rDate">
    <vt:lpwstr>4/4/2018 10:07:58 AM</vt:lpwstr>
  </property>
</Properties>
</file>