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F2B" w:rsidRPr="0074181B" w:rsidRDefault="00A07F2B" w:rsidP="00A07F2B">
      <w:pPr>
        <w:shd w:val="clear" w:color="auto" w:fill="000000"/>
        <w:spacing w:line="390" w:lineRule="atLeast"/>
        <w:jc w:val="center"/>
        <w:outlineLvl w:val="0"/>
        <w:rPr>
          <w:rFonts w:eastAsia="Times New Roman" w:cs="Times New Roman"/>
          <w:kern w:val="36"/>
          <w:szCs w:val="24"/>
          <w:lang w:val="es-MX"/>
        </w:rPr>
      </w:pPr>
      <w:r w:rsidRPr="0074181B">
        <w:rPr>
          <w:rFonts w:eastAsia="Times New Roman" w:cs="Times New Roman"/>
          <w:kern w:val="36"/>
          <w:szCs w:val="24"/>
          <w:lang w:val="es-MX"/>
        </w:rPr>
        <w:t>M E M O R A N D U M</w:t>
      </w:r>
    </w:p>
    <w:p w:rsidR="00A07F2B" w:rsidRDefault="00A07F2B" w:rsidP="00A07F2B">
      <w:pPr>
        <w:tabs>
          <w:tab w:val="left" w:pos="1080"/>
        </w:tabs>
        <w:jc w:val="both"/>
        <w:rPr>
          <w:rFonts w:eastAsia="Calibri" w:cs="Times New Roman"/>
          <w:b/>
          <w:szCs w:val="24"/>
        </w:rPr>
      </w:pPr>
    </w:p>
    <w:p w:rsidR="00A07F2B" w:rsidRPr="009A2D3C" w:rsidRDefault="00A07F2B" w:rsidP="00A07F2B">
      <w:pPr>
        <w:tabs>
          <w:tab w:val="left" w:pos="1080"/>
        </w:tabs>
        <w:ind w:right="18"/>
        <w:jc w:val="both"/>
        <w:rPr>
          <w:rFonts w:eastAsia="Calibri" w:cs="Times New Roman"/>
          <w:b/>
          <w:szCs w:val="24"/>
        </w:rPr>
      </w:pPr>
      <w:r w:rsidRPr="009A2D3C">
        <w:rPr>
          <w:rFonts w:eastAsia="Calibri" w:cs="Times New Roman"/>
          <w:b/>
          <w:szCs w:val="24"/>
        </w:rPr>
        <w:t>To:</w:t>
      </w:r>
      <w:r w:rsidRPr="009A2D3C">
        <w:rPr>
          <w:rFonts w:eastAsia="Calibri" w:cs="Times New Roman"/>
          <w:b/>
          <w:szCs w:val="24"/>
        </w:rPr>
        <w:tab/>
      </w:r>
      <w:r>
        <w:rPr>
          <w:rFonts w:eastAsia="Calibri" w:cs="Times New Roman"/>
          <w:b/>
          <w:szCs w:val="24"/>
        </w:rPr>
        <w:t>ACRM</w:t>
      </w:r>
    </w:p>
    <w:p w:rsidR="00A07F2B" w:rsidRPr="009A2D3C" w:rsidRDefault="00A07F2B" w:rsidP="00A07F2B">
      <w:pPr>
        <w:tabs>
          <w:tab w:val="left" w:pos="1080"/>
        </w:tabs>
        <w:ind w:right="18"/>
        <w:jc w:val="both"/>
        <w:rPr>
          <w:rFonts w:eastAsia="Calibri" w:cs="Times New Roman"/>
          <w:szCs w:val="24"/>
        </w:rPr>
      </w:pPr>
    </w:p>
    <w:p w:rsidR="00A07F2B" w:rsidRPr="009A2D3C" w:rsidRDefault="00A07F2B" w:rsidP="00A07F2B">
      <w:pPr>
        <w:tabs>
          <w:tab w:val="left" w:pos="1080"/>
        </w:tabs>
        <w:ind w:right="18"/>
        <w:jc w:val="both"/>
        <w:rPr>
          <w:rFonts w:eastAsia="Calibri" w:cs="Times New Roman"/>
          <w:b/>
          <w:szCs w:val="24"/>
        </w:rPr>
      </w:pPr>
      <w:r>
        <w:rPr>
          <w:rFonts w:eastAsia="Calibri" w:cs="Times New Roman"/>
          <w:b/>
          <w:szCs w:val="24"/>
        </w:rPr>
        <w:t>From:</w:t>
      </w:r>
      <w:r>
        <w:rPr>
          <w:rFonts w:eastAsia="Calibri" w:cs="Times New Roman"/>
          <w:b/>
          <w:szCs w:val="24"/>
        </w:rPr>
        <w:tab/>
        <w:t>Peter Thomas and Christina Hughes</w:t>
      </w:r>
    </w:p>
    <w:p w:rsidR="00A07F2B" w:rsidRPr="009A2D3C" w:rsidRDefault="00A07F2B" w:rsidP="00A07F2B">
      <w:pPr>
        <w:tabs>
          <w:tab w:val="left" w:pos="1080"/>
        </w:tabs>
        <w:ind w:right="18"/>
        <w:jc w:val="both"/>
        <w:rPr>
          <w:rFonts w:eastAsia="Calibri" w:cs="Times New Roman"/>
          <w:szCs w:val="24"/>
        </w:rPr>
      </w:pPr>
    </w:p>
    <w:p w:rsidR="00A07F2B" w:rsidRPr="009A2D3C" w:rsidRDefault="00A07F2B" w:rsidP="00A07F2B">
      <w:pPr>
        <w:tabs>
          <w:tab w:val="left" w:pos="1080"/>
        </w:tabs>
        <w:ind w:right="18"/>
        <w:jc w:val="both"/>
        <w:rPr>
          <w:rFonts w:eastAsia="Calibri" w:cs="Times New Roman"/>
          <w:szCs w:val="24"/>
        </w:rPr>
      </w:pPr>
      <w:r w:rsidRPr="009A2D3C">
        <w:rPr>
          <w:rFonts w:eastAsia="Calibri" w:cs="Times New Roman"/>
          <w:b/>
          <w:szCs w:val="24"/>
        </w:rPr>
        <w:t>Date:</w:t>
      </w:r>
      <w:r w:rsidRPr="009A2D3C">
        <w:rPr>
          <w:rFonts w:eastAsia="Calibri" w:cs="Times New Roman"/>
          <w:b/>
          <w:szCs w:val="24"/>
        </w:rPr>
        <w:tab/>
      </w:r>
      <w:r>
        <w:rPr>
          <w:rFonts w:eastAsia="Calibri" w:cs="Times New Roman"/>
          <w:b/>
          <w:szCs w:val="24"/>
        </w:rPr>
        <w:t>May 15, 2019</w:t>
      </w:r>
      <w:bookmarkStart w:id="0" w:name="_GoBack"/>
      <w:bookmarkEnd w:id="0"/>
    </w:p>
    <w:p w:rsidR="00A07F2B" w:rsidRPr="009A2D3C" w:rsidRDefault="00A07F2B" w:rsidP="00A07F2B">
      <w:pPr>
        <w:tabs>
          <w:tab w:val="left" w:pos="1080"/>
        </w:tabs>
        <w:ind w:right="18"/>
        <w:jc w:val="both"/>
        <w:rPr>
          <w:rFonts w:eastAsia="Calibri" w:cs="Times New Roman"/>
          <w:szCs w:val="24"/>
        </w:rPr>
      </w:pPr>
    </w:p>
    <w:p w:rsidR="00A07F2B" w:rsidRPr="001A0151" w:rsidRDefault="00A07F2B" w:rsidP="00A07F2B">
      <w:pPr>
        <w:ind w:left="1080" w:hanging="1080"/>
        <w:rPr>
          <w:rFonts w:eastAsia="Calibri" w:cs="Times New Roman"/>
          <w:b/>
          <w:szCs w:val="24"/>
        </w:rPr>
      </w:pPr>
      <w:r w:rsidRPr="009A2D3C">
        <w:rPr>
          <w:rFonts w:eastAsia="Calibri" w:cs="Times New Roman"/>
          <w:b/>
          <w:szCs w:val="24"/>
        </w:rPr>
        <w:t>Re:</w:t>
      </w:r>
      <w:r w:rsidRPr="009A2D3C">
        <w:rPr>
          <w:rFonts w:eastAsia="Calibri" w:cs="Times New Roman"/>
          <w:b/>
          <w:szCs w:val="24"/>
        </w:rPr>
        <w:tab/>
      </w:r>
      <w:r>
        <w:rPr>
          <w:rFonts w:eastAsia="Calibri" w:cs="Times New Roman"/>
          <w:b/>
          <w:szCs w:val="24"/>
        </w:rPr>
        <w:t xml:space="preserve">Proposed Rule on Inpatient </w:t>
      </w:r>
      <w:r w:rsidRPr="001A0151">
        <w:rPr>
          <w:rFonts w:eastAsia="Calibri" w:cs="Times New Roman"/>
          <w:b/>
          <w:szCs w:val="24"/>
        </w:rPr>
        <w:t>Reha</w:t>
      </w:r>
      <w:r>
        <w:rPr>
          <w:rFonts w:eastAsia="Calibri" w:cs="Times New Roman"/>
          <w:b/>
          <w:szCs w:val="24"/>
        </w:rPr>
        <w:t xml:space="preserve">bilitation Facility Prospective </w:t>
      </w:r>
      <w:r w:rsidRPr="001A0151">
        <w:rPr>
          <w:rFonts w:eastAsia="Calibri" w:cs="Times New Roman"/>
          <w:b/>
          <w:szCs w:val="24"/>
        </w:rPr>
        <w:t>Pa</w:t>
      </w:r>
      <w:r>
        <w:rPr>
          <w:rFonts w:eastAsia="Calibri" w:cs="Times New Roman"/>
          <w:b/>
          <w:szCs w:val="24"/>
        </w:rPr>
        <w:t>yment System for Federal Fiscal Year 2020 and Updates to the IRF Quality Reporting Program</w:t>
      </w:r>
    </w:p>
    <w:p w:rsidR="00A07F2B" w:rsidRPr="00CB486A" w:rsidRDefault="00A07F2B" w:rsidP="00A07F2B">
      <w:pPr>
        <w:ind w:right="18"/>
        <w:jc w:val="both"/>
        <w:rPr>
          <w:rFonts w:eastAsia="Calibri" w:cs="Times New Roman"/>
          <w:b/>
          <w:szCs w:val="24"/>
        </w:rPr>
      </w:pPr>
      <w:r w:rsidRPr="00CB486A">
        <w:rPr>
          <w:rFonts w:eastAsia="Calibri" w:cs="Times New Roman"/>
          <w:b/>
          <w:szCs w:val="24"/>
        </w:rPr>
        <w:t>_____________________________________________________________________________</w:t>
      </w:r>
    </w:p>
    <w:p w:rsidR="00A07F2B" w:rsidRPr="00CB486A" w:rsidRDefault="00A07F2B" w:rsidP="00A07F2B">
      <w:pPr>
        <w:ind w:right="18"/>
        <w:jc w:val="both"/>
      </w:pPr>
    </w:p>
    <w:p w:rsidR="00A07F2B" w:rsidRPr="00A318E0" w:rsidRDefault="00A07F2B" w:rsidP="00A07F2B">
      <w:pPr>
        <w:ind w:right="18"/>
        <w:jc w:val="both"/>
        <w:rPr>
          <w:rFonts w:eastAsia="Times New Roman" w:cs="Times New Roman"/>
          <w:b/>
          <w:szCs w:val="24"/>
        </w:rPr>
      </w:pPr>
      <w:r w:rsidRPr="00A318E0">
        <w:t xml:space="preserve">On </w:t>
      </w:r>
      <w:r>
        <w:t xml:space="preserve">April 24, 2019, </w:t>
      </w:r>
      <w:r w:rsidRPr="00A318E0">
        <w:t xml:space="preserve">the Centers for Medicare &amp; Medicaid Services (CMS) at the Department of </w:t>
      </w:r>
      <w:r>
        <w:t>Health and Human Services (HHS) published</w:t>
      </w:r>
      <w:r w:rsidRPr="00A318E0">
        <w:t xml:space="preserve"> a </w:t>
      </w:r>
      <w:hyperlink r:id="rId8" w:history="1">
        <w:r w:rsidRPr="00EE0E69">
          <w:rPr>
            <w:rStyle w:val="Hyperlink"/>
          </w:rPr>
          <w:t>proposed rule</w:t>
        </w:r>
      </w:hyperlink>
      <w:r w:rsidRPr="00A318E0">
        <w:t xml:space="preserve"> in the Federal Register updating the prospective payment rates for in</w:t>
      </w:r>
      <w:r>
        <w:t>patient rehabilitation hospitals and unit</w:t>
      </w:r>
      <w:r w:rsidRPr="00A318E0">
        <w:t xml:space="preserve">s (IRFs) </w:t>
      </w:r>
      <w:r>
        <w:t>and proposing other changes in regulations for federal fiscal year (FY) 2020</w:t>
      </w:r>
      <w:r w:rsidRPr="00A318E0">
        <w:t xml:space="preserve">.  </w:t>
      </w:r>
      <w:r>
        <w:t>With certain notable exceptions, most of the proposed regulatory changes described below are highly technical and are of most relevance to IRFs and their operations.  CMS has also</w:t>
      </w:r>
      <w:r w:rsidRPr="00473717">
        <w:t xml:space="preserve"> published a </w:t>
      </w:r>
      <w:hyperlink r:id="rId9" w:history="1">
        <w:r w:rsidRPr="00473717">
          <w:rPr>
            <w:rStyle w:val="Hyperlink"/>
          </w:rPr>
          <w:t>fact sheet</w:t>
        </w:r>
      </w:hyperlink>
      <w:r w:rsidRPr="00473717">
        <w:t xml:space="preserve"> </w:t>
      </w:r>
      <w:r>
        <w:t>for the</w:t>
      </w:r>
      <w:r w:rsidRPr="00473717">
        <w:t xml:space="preserve"> rule.  </w:t>
      </w:r>
      <w:r w:rsidRPr="00473717">
        <w:rPr>
          <w:b/>
          <w:u w:val="single"/>
        </w:rPr>
        <w:t xml:space="preserve">Comments on </w:t>
      </w:r>
      <w:r>
        <w:rPr>
          <w:b/>
          <w:u w:val="single"/>
        </w:rPr>
        <w:t>the proposed rule are due June 17</w:t>
      </w:r>
      <w:r w:rsidRPr="00473717">
        <w:rPr>
          <w:b/>
          <w:u w:val="single"/>
        </w:rPr>
        <w:t>, 201</w:t>
      </w:r>
      <w:r>
        <w:rPr>
          <w:b/>
          <w:u w:val="single"/>
        </w:rPr>
        <w:t>9 by 5:00 PM ED</w:t>
      </w:r>
      <w:r w:rsidRPr="00473717">
        <w:rPr>
          <w:b/>
          <w:u w:val="single"/>
        </w:rPr>
        <w:t>T.</w:t>
      </w:r>
    </w:p>
    <w:p w:rsidR="00A07F2B" w:rsidRPr="00473717" w:rsidRDefault="00A07F2B" w:rsidP="00A07F2B">
      <w:pPr>
        <w:ind w:right="18"/>
        <w:jc w:val="both"/>
        <w:rPr>
          <w:highlight w:val="yellow"/>
        </w:rPr>
      </w:pPr>
    </w:p>
    <w:p w:rsidR="00A07F2B" w:rsidRDefault="00A07F2B" w:rsidP="00A07F2B">
      <w:pPr>
        <w:ind w:right="18"/>
        <w:jc w:val="both"/>
        <w:rPr>
          <w:b/>
        </w:rPr>
      </w:pPr>
      <w:r w:rsidRPr="00182A4B">
        <w:rPr>
          <w:b/>
        </w:rPr>
        <w:t>Update of the IRF Federal P</w:t>
      </w:r>
      <w:r>
        <w:rPr>
          <w:b/>
        </w:rPr>
        <w:t>rospective Payment Rates (FY 2020</w:t>
      </w:r>
      <w:r w:rsidRPr="00182A4B">
        <w:rPr>
          <w:b/>
        </w:rPr>
        <w:t xml:space="preserve"> IRF PPS)</w:t>
      </w:r>
    </w:p>
    <w:p w:rsidR="00A07F2B" w:rsidRPr="00FF1326" w:rsidRDefault="00A07F2B" w:rsidP="00A07F2B">
      <w:pPr>
        <w:ind w:right="18"/>
        <w:jc w:val="both"/>
        <w:rPr>
          <w:b/>
        </w:rPr>
      </w:pPr>
    </w:p>
    <w:p w:rsidR="00A07F2B" w:rsidRPr="00212BB4" w:rsidRDefault="00A07F2B" w:rsidP="00A07F2B">
      <w:pPr>
        <w:pStyle w:val="ListParagraph"/>
        <w:numPr>
          <w:ilvl w:val="0"/>
          <w:numId w:val="18"/>
        </w:numPr>
        <w:ind w:right="18"/>
        <w:jc w:val="both"/>
        <w:rPr>
          <w:b/>
        </w:rPr>
      </w:pPr>
      <w:r>
        <w:rPr>
          <w:u w:val="single"/>
        </w:rPr>
        <w:t>Changes to the motor score used for assignment of patients to case-mix groups</w:t>
      </w:r>
      <w:r>
        <w:t>.  CMS proposes two changes to the motor score to be used beginning in FY 2020.  The new motor score is based on additive factors from the Quality Indicators reported on the IRF-PAI.  Last year, CMS finalized a switch from using the Functional Independence Measurement™ (FIM™) scores to using the Quality Indicator scores, effective October 1, 2019.  At that time, CMS also finalized an unweighted motor score.  CMS now proposes to weight the motor score; in addition, CMS proposes the removal of one Quality Indicator score—GG0170A1 Roll left and right—from the motor score.  Under the new weighted score, Eating, Toileting hygiene, and Toilet transfers will be given the most weight in determining a patient’s motor score; Sit to lying, Lying to sitting on the side of the bed, and Oral hygiene will be given the least weight.  See Table 1 in the proposed rule for further details.</w:t>
      </w:r>
    </w:p>
    <w:p w:rsidR="00A07F2B" w:rsidRDefault="00A07F2B" w:rsidP="00A07F2B">
      <w:pPr>
        <w:ind w:right="18" w:firstLine="720"/>
        <w:jc w:val="both"/>
        <w:rPr>
          <w:b/>
        </w:rPr>
      </w:pPr>
    </w:p>
    <w:p w:rsidR="00A07F2B" w:rsidRPr="00212BB4" w:rsidRDefault="00A07F2B" w:rsidP="00A07F2B">
      <w:pPr>
        <w:ind w:left="720" w:right="18"/>
        <w:jc w:val="both"/>
        <w:rPr>
          <w:b/>
          <w:i/>
        </w:rPr>
      </w:pPr>
      <w:r w:rsidRPr="00212BB4">
        <w:rPr>
          <w:b/>
          <w:i/>
        </w:rPr>
        <w:t xml:space="preserve">Note:  </w:t>
      </w:r>
      <w:r w:rsidRPr="00212BB4">
        <w:rPr>
          <w:i/>
        </w:rPr>
        <w:t xml:space="preserve">Based on the fact that CMS did not publish sufficient data in the rule for stakeholders to analyze the effects these changes might have on patient care, it is very difficult to assess the impact of this proposal.  </w:t>
      </w:r>
    </w:p>
    <w:p w:rsidR="00A07F2B" w:rsidRPr="00FF1326" w:rsidRDefault="00A07F2B" w:rsidP="00A07F2B">
      <w:pPr>
        <w:pStyle w:val="ListParagraph"/>
        <w:ind w:right="18"/>
        <w:jc w:val="both"/>
        <w:rPr>
          <w:b/>
        </w:rPr>
      </w:pPr>
    </w:p>
    <w:p w:rsidR="00A07F2B" w:rsidRPr="00FB3AC8" w:rsidRDefault="00A07F2B" w:rsidP="00A07F2B">
      <w:pPr>
        <w:pStyle w:val="ListParagraph"/>
        <w:numPr>
          <w:ilvl w:val="0"/>
          <w:numId w:val="18"/>
        </w:numPr>
        <w:ind w:right="18"/>
        <w:jc w:val="both"/>
        <w:rPr>
          <w:b/>
        </w:rPr>
      </w:pPr>
      <w:r>
        <w:rPr>
          <w:u w:val="single"/>
        </w:rPr>
        <w:t>Updating relative weights and average length of stay values</w:t>
      </w:r>
      <w:r w:rsidRPr="003C23B7">
        <w:t xml:space="preserve">. </w:t>
      </w:r>
      <w:r>
        <w:t xml:space="preserve"> Based on analysis of two years of data (FY 2017 and FY 2018), CMS proposes to revise the case mix groups (CMGs), as promised when CMS finalized the switch to use of Quality Indicators rather than the FIM™ scores despite significant opposition from the IRF field and other stakeholders.  CMS proposes to make certain changes to the CMGs and their related tiers.  Under the proposed changes, the number of CMGs rises from 92 to 97, with fewer CMGs in Rehabilitation </w:t>
      </w:r>
      <w:r>
        <w:lastRenderedPageBreak/>
        <w:t>Impairment Categories (RICs) 1, 2, 5, and 8, and more in RICs 3, 4, 10, 11, 12, 13, 16, 18, 19, and 21.  The patient’s age will affect assignment for CMGs in RICs 1, 3, 4, 12, 13, 16, and 20, rather than only RICs 1, 4, and 8 (under the current classification system).</w:t>
      </w:r>
    </w:p>
    <w:p w:rsidR="00A07F2B" w:rsidRDefault="00A07F2B" w:rsidP="00A07F2B">
      <w:pPr>
        <w:ind w:right="18"/>
        <w:jc w:val="both"/>
        <w:rPr>
          <w:b/>
        </w:rPr>
      </w:pPr>
    </w:p>
    <w:p w:rsidR="00A07F2B" w:rsidRPr="00A35C44" w:rsidRDefault="00A07F2B" w:rsidP="00A07F2B">
      <w:pPr>
        <w:ind w:left="720" w:right="18"/>
        <w:jc w:val="both"/>
        <w:rPr>
          <w:i/>
        </w:rPr>
      </w:pPr>
      <w:r w:rsidRPr="00A35C44">
        <w:rPr>
          <w:b/>
          <w:i/>
        </w:rPr>
        <w:t xml:space="preserve">Note:  </w:t>
      </w:r>
      <w:r w:rsidRPr="00A35C44">
        <w:rPr>
          <w:i/>
        </w:rPr>
        <w:t>Where CMS proposes to reduce the number of CMGs in certain RICs that address brain injury and stroke, thereby condensing the level of impairment compensated under the IRF payment system, there is concern that this change may serve as a disincentive for IRFs to admit these patients or, if admitted, to ultimately have fewer resources available to suit patients’ needs.  The American Medical Rehabilitation Providers Association (AMRPA) is analyzing the data to better assess the impact of this change and will share this analysis when available.</w:t>
      </w:r>
    </w:p>
    <w:p w:rsidR="00A07F2B" w:rsidRPr="00212BB4" w:rsidRDefault="00A07F2B" w:rsidP="00A07F2B">
      <w:pPr>
        <w:ind w:left="720" w:right="18"/>
        <w:jc w:val="both"/>
      </w:pPr>
    </w:p>
    <w:p w:rsidR="00A07F2B" w:rsidRDefault="00A07F2B" w:rsidP="00A07F2B">
      <w:pPr>
        <w:pStyle w:val="ListParagraph"/>
        <w:numPr>
          <w:ilvl w:val="0"/>
          <w:numId w:val="18"/>
        </w:numPr>
        <w:ind w:right="18"/>
        <w:jc w:val="both"/>
      </w:pPr>
      <w:r w:rsidRPr="00275C96">
        <w:rPr>
          <w:u w:val="single"/>
        </w:rPr>
        <w:t>Market basket rebasing and resulting update for 2020</w:t>
      </w:r>
      <w:r>
        <w:t>.</w:t>
      </w:r>
      <w:r w:rsidRPr="00182A4B">
        <w:t xml:space="preserve">   </w:t>
      </w:r>
      <w:r>
        <w:t xml:space="preserve">As it does periodically to account for changes in the mix of goods and services purchased by IRFs to continue operation, CMS proposes to rebase and revise the IRF market basket to reflect a 2016 base year, instead of the current 2012 base year.  The rebased formula results in a market basket update of 3.0%.  With applicable adjustments, the final market basket update for FY 2020 is proposed to be 2.5%.  </w:t>
      </w:r>
      <w:r w:rsidRPr="003C23B7">
        <w:t xml:space="preserve">CMS rejected </w:t>
      </w:r>
      <w:r>
        <w:t>the recommendation made by the Medicare Payment Advisory Commission (MedPAC) for a 5.0 percent d</w:t>
      </w:r>
      <w:r w:rsidRPr="003C23B7">
        <w:t>ecrease</w:t>
      </w:r>
      <w:r>
        <w:t xml:space="preserve"> (rebasing) for FY 2020 but this, in part, is due to the statutory formula for annual updates to the IRF payment rates</w:t>
      </w:r>
      <w:r w:rsidRPr="003C23B7">
        <w:t>.</w:t>
      </w:r>
    </w:p>
    <w:p w:rsidR="00A07F2B" w:rsidRDefault="00A07F2B" w:rsidP="00A07F2B">
      <w:pPr>
        <w:pStyle w:val="ListParagraph"/>
        <w:ind w:right="18"/>
        <w:jc w:val="both"/>
      </w:pPr>
    </w:p>
    <w:p w:rsidR="00A07F2B" w:rsidRPr="00275C96" w:rsidRDefault="00A07F2B" w:rsidP="00A07F2B">
      <w:pPr>
        <w:pStyle w:val="ListParagraph"/>
        <w:numPr>
          <w:ilvl w:val="0"/>
          <w:numId w:val="18"/>
        </w:numPr>
        <w:ind w:right="18"/>
        <w:jc w:val="both"/>
      </w:pPr>
      <w:r w:rsidRPr="003F5DFD">
        <w:rPr>
          <w:u w:val="single"/>
        </w:rPr>
        <w:t>Facility-level adjustments</w:t>
      </w:r>
      <w:r w:rsidRPr="003F5DFD">
        <w:t>.</w:t>
      </w:r>
      <w:r>
        <w:t xml:space="preserve">  CMS proposes to continue use of the FY 2014 facility-level adjustment factors.</w:t>
      </w:r>
    </w:p>
    <w:p w:rsidR="00A07F2B" w:rsidRDefault="00A07F2B" w:rsidP="00A07F2B">
      <w:pPr>
        <w:pStyle w:val="ListParagraph"/>
      </w:pPr>
    </w:p>
    <w:p w:rsidR="00A07F2B" w:rsidRPr="00FB3AC8" w:rsidRDefault="00A07F2B" w:rsidP="00A07F2B">
      <w:pPr>
        <w:pStyle w:val="ListParagraph"/>
        <w:numPr>
          <w:ilvl w:val="0"/>
          <w:numId w:val="18"/>
        </w:numPr>
        <w:ind w:right="18"/>
        <w:jc w:val="both"/>
      </w:pPr>
      <w:r>
        <w:rPr>
          <w:u w:val="single"/>
        </w:rPr>
        <w:t>Calculation of the labor-related share</w:t>
      </w:r>
      <w:r>
        <w:t>.  CMS proposes to include the sum of the FY 2020 relative importance of Wages and Salaries, Employee Benefits, Professional Fees:  Labor-related, Administrative and Facilities Support Services, Installation, Maintenance, and Repair, All Other:  Labor-related Services, and a portion of the Capital-Related cost weight from the proposed 2016-based IRF market basket.  This results in a proposed total labor-related share for FY 2020 of 72.6%.</w:t>
      </w:r>
    </w:p>
    <w:p w:rsidR="00A07F2B" w:rsidRPr="00FB3AC8" w:rsidRDefault="00A07F2B" w:rsidP="00A07F2B">
      <w:pPr>
        <w:pStyle w:val="ListParagraph"/>
        <w:rPr>
          <w:u w:val="single"/>
        </w:rPr>
      </w:pPr>
    </w:p>
    <w:p w:rsidR="00A07F2B" w:rsidRPr="004942BA" w:rsidRDefault="00A07F2B" w:rsidP="00A07F2B">
      <w:pPr>
        <w:pStyle w:val="ListParagraph"/>
        <w:numPr>
          <w:ilvl w:val="0"/>
          <w:numId w:val="18"/>
        </w:numPr>
        <w:ind w:right="18"/>
        <w:jc w:val="both"/>
      </w:pPr>
      <w:r>
        <w:rPr>
          <w:u w:val="single"/>
        </w:rPr>
        <w:t>Wage index change</w:t>
      </w:r>
      <w:r>
        <w:t>.  CMS proposes to align the IRF wage index methodology with other post-acute care settings by using the pre-floor, pre-reclassified IPPS wage index from the current fiscal year, rather than from the previous fiscal year.</w:t>
      </w:r>
      <w:r w:rsidRPr="003F5DFD">
        <w:t xml:space="preserve"> </w:t>
      </w:r>
      <w:r>
        <w:t xml:space="preserve"> </w:t>
      </w:r>
      <w:r w:rsidRPr="004942BA">
        <w:t>CMS is specifically looking for comments from stakeholders regarding concerns related to the wage index used to adjust IRF payments, as well as suggestions for updating and improving the geographic adjustment of IRF payments.</w:t>
      </w:r>
    </w:p>
    <w:p w:rsidR="00A07F2B" w:rsidRPr="003F5DFD" w:rsidRDefault="00A07F2B" w:rsidP="00A07F2B">
      <w:pPr>
        <w:ind w:right="18"/>
        <w:jc w:val="both"/>
      </w:pPr>
    </w:p>
    <w:p w:rsidR="00A07F2B" w:rsidRDefault="00A07F2B" w:rsidP="00A07F2B">
      <w:pPr>
        <w:pStyle w:val="ListParagraph"/>
        <w:numPr>
          <w:ilvl w:val="0"/>
          <w:numId w:val="18"/>
        </w:numPr>
        <w:ind w:right="18"/>
        <w:jc w:val="both"/>
      </w:pPr>
      <w:r>
        <w:rPr>
          <w:u w:val="single"/>
        </w:rPr>
        <w:t>Proposed FY 2020 standard payment conversion factor</w:t>
      </w:r>
      <w:r>
        <w:t>.  The base payment rate for use in calculating reimbursement for IRFs is proposed as $16,573 for FY 2020.</w:t>
      </w:r>
    </w:p>
    <w:p w:rsidR="00A07F2B" w:rsidRPr="00CA5DEA" w:rsidRDefault="00A07F2B" w:rsidP="00A07F2B">
      <w:pPr>
        <w:pStyle w:val="ListParagraph"/>
        <w:ind w:right="18"/>
        <w:jc w:val="both"/>
      </w:pPr>
    </w:p>
    <w:p w:rsidR="00A07F2B" w:rsidRDefault="00A07F2B" w:rsidP="00A07F2B">
      <w:pPr>
        <w:pStyle w:val="ListParagraph"/>
        <w:numPr>
          <w:ilvl w:val="0"/>
          <w:numId w:val="18"/>
        </w:numPr>
        <w:ind w:right="18"/>
        <w:jc w:val="both"/>
      </w:pPr>
      <w:r>
        <w:rPr>
          <w:u w:val="single"/>
        </w:rPr>
        <w:t>Updated outlier payments.</w:t>
      </w:r>
      <w:r>
        <w:t xml:space="preserve">  </w:t>
      </w:r>
      <w:r w:rsidRPr="003F5DFD">
        <w:t xml:space="preserve">CMS </w:t>
      </w:r>
      <w:r>
        <w:t>proposes to increase the outlier threshold amount from $9,402 in FY 2019 to $9,935 in FY 2020 to maintain estimated outlier payments at approximately 3% of total aggregate IRF payments for FY 2019.</w:t>
      </w:r>
    </w:p>
    <w:p w:rsidR="00A07F2B" w:rsidRDefault="00A07F2B" w:rsidP="00A07F2B">
      <w:pPr>
        <w:pStyle w:val="ListParagraph"/>
      </w:pPr>
    </w:p>
    <w:p w:rsidR="00A07F2B" w:rsidRDefault="00A07F2B" w:rsidP="00A07F2B">
      <w:pPr>
        <w:pStyle w:val="ListParagraph"/>
        <w:numPr>
          <w:ilvl w:val="0"/>
          <w:numId w:val="18"/>
        </w:numPr>
        <w:ind w:right="18"/>
        <w:jc w:val="both"/>
      </w:pPr>
      <w:r>
        <w:rPr>
          <w:u w:val="single"/>
        </w:rPr>
        <w:lastRenderedPageBreak/>
        <w:t>Update to the cost-to-charge (CCR) ratio ceiling and urban/rural average CCRs</w:t>
      </w:r>
      <w:r>
        <w:t>.  Using the most recent available cost report data (from FY 2017), CMS proposes to update the national average CCR to 0.500 for rural IRFs and 0.406 for urban IRFs.  Accordingly, CMS proposes to set the national CCR ceiling at 1.31 for FY 2020.</w:t>
      </w:r>
    </w:p>
    <w:p w:rsidR="00A07F2B" w:rsidRDefault="00A07F2B" w:rsidP="00A07F2B">
      <w:pPr>
        <w:pStyle w:val="NormalWeb"/>
        <w:spacing w:before="0" w:beforeAutospacing="0" w:after="0" w:afterAutospacing="0"/>
        <w:rPr>
          <w:b/>
          <w:bCs/>
          <w:highlight w:val="yellow"/>
        </w:rPr>
      </w:pPr>
    </w:p>
    <w:p w:rsidR="00A07F2B" w:rsidRPr="00D369A0" w:rsidRDefault="00A07F2B" w:rsidP="00A07F2B">
      <w:pPr>
        <w:rPr>
          <w:rFonts w:eastAsia="Times New Roman"/>
          <w:szCs w:val="24"/>
        </w:rPr>
      </w:pPr>
      <w:r>
        <w:rPr>
          <w:rFonts w:eastAsia="Times New Roman"/>
          <w:b/>
          <w:bCs/>
          <w:szCs w:val="24"/>
        </w:rPr>
        <w:t>CMS Defers to IRFs to Determine Who Qualifies as a “Rehabilitation Physician”</w:t>
      </w:r>
    </w:p>
    <w:p w:rsidR="00A07F2B" w:rsidRPr="00CD3A09" w:rsidRDefault="00A07F2B" w:rsidP="00A07F2B">
      <w:pPr>
        <w:rPr>
          <w:bCs/>
        </w:rPr>
      </w:pPr>
      <w:r>
        <w:rPr>
          <w:rFonts w:eastAsia="Times New Roman" w:cs="Times New Roman"/>
          <w:bCs/>
          <w:szCs w:val="24"/>
        </w:rPr>
        <w:t xml:space="preserve">In the proposed rule, </w:t>
      </w:r>
      <w:r w:rsidRPr="00F6600F">
        <w:rPr>
          <w:rFonts w:eastAsia="Times New Roman"/>
          <w:szCs w:val="24"/>
        </w:rPr>
        <w:t xml:space="preserve">CMS </w:t>
      </w:r>
      <w:r>
        <w:rPr>
          <w:rFonts w:eastAsia="Times New Roman"/>
          <w:szCs w:val="24"/>
        </w:rPr>
        <w:t>proposes to “clarify” the definition of “rehabilitation physician” by revising the regulations to indicate that the individual IRF is responsible for determining whether a physician has the requisite specialized training and experience in inpatient rehabilitation to be deemed a “rehabilitation physician.”  The definition will also be removed from 42 C.F.R. § 412.622(a)(4)(iv) and moved to new paragraph 42 C.F.R. § 412.622(c), but this has little meaningful effect.  The existing regulations are silent as to the entity responsible for ensuring that the rehabilitation physician is appropriately trained and experienced.  By codifying in regulation that this decision is made by the IRF, CMS loses some authority to challenge whether rehabilitation physicians selected by IRFs are appropriately qualified.  This means that IRFs gain some authority and autonomy to make this decision.  Depending on where one sits on this issue appears to determine where one stands.</w:t>
      </w:r>
    </w:p>
    <w:p w:rsidR="00A07F2B" w:rsidRDefault="00A07F2B" w:rsidP="00A07F2B">
      <w:pPr>
        <w:pStyle w:val="NormalWeb"/>
        <w:spacing w:before="0" w:beforeAutospacing="0" w:after="0" w:afterAutospacing="0"/>
        <w:rPr>
          <w:b/>
          <w:bCs/>
          <w:highlight w:val="yellow"/>
        </w:rPr>
      </w:pPr>
    </w:p>
    <w:p w:rsidR="00A07F2B" w:rsidRDefault="00A07F2B" w:rsidP="00A07F2B">
      <w:pPr>
        <w:pStyle w:val="NormalWeb"/>
        <w:keepNext/>
        <w:spacing w:before="0" w:beforeAutospacing="0" w:after="0" w:afterAutospacing="0"/>
        <w:rPr>
          <w:rStyle w:val="Strong"/>
        </w:rPr>
      </w:pPr>
      <w:r>
        <w:rPr>
          <w:rStyle w:val="Strong"/>
        </w:rPr>
        <w:t>Proposed Changes to the IRF Quality Reporting Program (QRP)</w:t>
      </w:r>
    </w:p>
    <w:p w:rsidR="00A07F2B" w:rsidRDefault="00A07F2B" w:rsidP="00A07F2B">
      <w:pPr>
        <w:pStyle w:val="NormalWeb"/>
        <w:spacing w:before="0" w:beforeAutospacing="0" w:after="0" w:afterAutospacing="0"/>
      </w:pPr>
    </w:p>
    <w:p w:rsidR="00A07F2B" w:rsidRDefault="00A07F2B" w:rsidP="00A07F2B">
      <w:pPr>
        <w:pStyle w:val="NormalWeb"/>
        <w:numPr>
          <w:ilvl w:val="0"/>
          <w:numId w:val="27"/>
        </w:numPr>
        <w:spacing w:before="0" w:beforeAutospacing="0" w:after="0" w:afterAutospacing="0"/>
        <w:rPr>
          <w:b/>
        </w:rPr>
      </w:pPr>
      <w:r>
        <w:t>CMS proposes to adopt two new process measures for FY 2020—(1) Transfer of Health Information to the Provider—Post-Acute Care (PAC) and (2) Transfer of Health Information to the Patient—Post-Acute Care (PAC).  Specifically these measures look at whether a current reconciled medication list is given either (1) to the receiving provider upon transfer from the IRF or (2) the patient upon discharge to the community.</w:t>
      </w:r>
    </w:p>
    <w:p w:rsidR="00A07F2B" w:rsidRDefault="00A07F2B" w:rsidP="00A07F2B">
      <w:pPr>
        <w:pStyle w:val="NormalWeb"/>
        <w:spacing w:before="0" w:beforeAutospacing="0" w:after="0" w:afterAutospacing="0"/>
        <w:ind w:left="720"/>
        <w:rPr>
          <w:b/>
        </w:rPr>
      </w:pPr>
    </w:p>
    <w:p w:rsidR="00A07F2B" w:rsidRDefault="00A07F2B" w:rsidP="00A07F2B">
      <w:pPr>
        <w:pStyle w:val="NormalWeb"/>
        <w:numPr>
          <w:ilvl w:val="0"/>
          <w:numId w:val="27"/>
        </w:numPr>
        <w:spacing w:before="0" w:beforeAutospacing="0" w:after="0" w:afterAutospacing="0"/>
        <w:rPr>
          <w:b/>
        </w:rPr>
      </w:pPr>
      <w:r>
        <w:t>CMS also proposes to update the specifications for the Discharge to Community—Post-Acute Care (PAC) measure to exclude those patients who return to a nursing facility at discharge if those patients’ baseline prior living situation was at a nursing facility.</w:t>
      </w:r>
    </w:p>
    <w:p w:rsidR="00A07F2B" w:rsidRDefault="00A07F2B" w:rsidP="00A07F2B">
      <w:pPr>
        <w:pStyle w:val="ListParagraph"/>
      </w:pPr>
    </w:p>
    <w:p w:rsidR="00A07F2B" w:rsidRPr="002D750B" w:rsidRDefault="00A07F2B" w:rsidP="00A07F2B">
      <w:pPr>
        <w:pStyle w:val="NormalWeb"/>
        <w:numPr>
          <w:ilvl w:val="0"/>
          <w:numId w:val="27"/>
        </w:numPr>
        <w:spacing w:before="0" w:beforeAutospacing="0" w:after="0" w:afterAutospacing="0"/>
        <w:rPr>
          <w:b/>
        </w:rPr>
      </w:pPr>
      <w:r>
        <w:t>CMS proposes to implement Standardized Patient Assessment Data (SPADE) data reporting for FY 2022.  Reporting will require data collection on five categories, with multiple reporting elements within each category, as listed below:</w:t>
      </w:r>
    </w:p>
    <w:p w:rsidR="00A07F2B" w:rsidRDefault="00A07F2B" w:rsidP="00A07F2B">
      <w:pPr>
        <w:pStyle w:val="ListParagraph"/>
        <w:rPr>
          <w:b/>
        </w:rPr>
      </w:pPr>
    </w:p>
    <w:p w:rsidR="00A07F2B" w:rsidRPr="00BD207A" w:rsidRDefault="00A07F2B" w:rsidP="00A07F2B">
      <w:pPr>
        <w:pStyle w:val="NormalWeb"/>
        <w:numPr>
          <w:ilvl w:val="1"/>
          <w:numId w:val="27"/>
        </w:numPr>
        <w:spacing w:before="0" w:beforeAutospacing="0" w:after="0" w:afterAutospacing="0"/>
        <w:rPr>
          <w:b/>
        </w:rPr>
      </w:pPr>
      <w:r>
        <w:t>Functional Status</w:t>
      </w:r>
    </w:p>
    <w:p w:rsidR="00A07F2B" w:rsidRPr="00BD207A" w:rsidRDefault="00A07F2B" w:rsidP="00A07F2B">
      <w:pPr>
        <w:pStyle w:val="NormalWeb"/>
        <w:numPr>
          <w:ilvl w:val="2"/>
          <w:numId w:val="27"/>
        </w:numPr>
        <w:spacing w:before="0" w:beforeAutospacing="0" w:after="0" w:afterAutospacing="0"/>
        <w:rPr>
          <w:b/>
        </w:rPr>
      </w:pPr>
      <w:r>
        <w:t>IRFs currently already report on relevant data elements</w:t>
      </w:r>
    </w:p>
    <w:p w:rsidR="00A07F2B" w:rsidRPr="002D750B" w:rsidRDefault="00A07F2B" w:rsidP="00A07F2B">
      <w:pPr>
        <w:pStyle w:val="NormalWeb"/>
        <w:numPr>
          <w:ilvl w:val="2"/>
          <w:numId w:val="27"/>
        </w:numPr>
        <w:spacing w:before="0" w:beforeAutospacing="0" w:after="0" w:afterAutospacing="0"/>
        <w:rPr>
          <w:b/>
        </w:rPr>
      </w:pPr>
      <w:r>
        <w:t>No additional SPADEs proposed</w:t>
      </w:r>
    </w:p>
    <w:p w:rsidR="00A07F2B" w:rsidRPr="00BD207A" w:rsidRDefault="00A07F2B" w:rsidP="00A07F2B">
      <w:pPr>
        <w:pStyle w:val="NormalWeb"/>
        <w:numPr>
          <w:ilvl w:val="1"/>
          <w:numId w:val="27"/>
        </w:numPr>
        <w:spacing w:before="0" w:beforeAutospacing="0" w:after="0" w:afterAutospacing="0"/>
        <w:rPr>
          <w:b/>
        </w:rPr>
      </w:pPr>
      <w:r>
        <w:t>Cognitive Function</w:t>
      </w:r>
    </w:p>
    <w:p w:rsidR="00A07F2B" w:rsidRPr="00BD207A" w:rsidRDefault="00A07F2B" w:rsidP="00A07F2B">
      <w:pPr>
        <w:pStyle w:val="NormalWeb"/>
        <w:numPr>
          <w:ilvl w:val="2"/>
          <w:numId w:val="27"/>
        </w:numPr>
        <w:spacing w:before="0" w:beforeAutospacing="0" w:after="0" w:afterAutospacing="0"/>
        <w:rPr>
          <w:b/>
        </w:rPr>
      </w:pPr>
      <w:r>
        <w:t>Brief Interview for Mental Status (BIMS) – performance-based cognitive assessment screening tool that assesses repetition, recall with and without prompting, and temporal orientation</w:t>
      </w:r>
    </w:p>
    <w:p w:rsidR="00A07F2B" w:rsidRPr="00BD207A" w:rsidRDefault="00A07F2B" w:rsidP="00A07F2B">
      <w:pPr>
        <w:pStyle w:val="NormalWeb"/>
        <w:numPr>
          <w:ilvl w:val="2"/>
          <w:numId w:val="27"/>
        </w:numPr>
        <w:spacing w:before="0" w:beforeAutospacing="0" w:after="0" w:afterAutospacing="0"/>
        <w:rPr>
          <w:b/>
        </w:rPr>
      </w:pPr>
      <w:r>
        <w:t>Confusion Assessment Method (CAM) – patient assessment that screens for overall cognitive impairment, as well as distinguishing delirium or reversible confusion from other types of cognitive impairment</w:t>
      </w:r>
    </w:p>
    <w:p w:rsidR="00A07F2B" w:rsidRPr="00BD207A" w:rsidRDefault="00A07F2B" w:rsidP="00A07F2B">
      <w:pPr>
        <w:pStyle w:val="NormalWeb"/>
        <w:numPr>
          <w:ilvl w:val="2"/>
          <w:numId w:val="27"/>
        </w:numPr>
        <w:spacing w:before="0" w:beforeAutospacing="0" w:after="0" w:afterAutospacing="0"/>
        <w:rPr>
          <w:b/>
        </w:rPr>
      </w:pPr>
      <w:r>
        <w:t>Patient Health Questionnaire-2 to 9 (PHQ-2 to 9)</w:t>
      </w:r>
    </w:p>
    <w:p w:rsidR="00A07F2B" w:rsidRPr="00B84CE6" w:rsidRDefault="00A07F2B" w:rsidP="00A07F2B">
      <w:pPr>
        <w:pStyle w:val="NormalWeb"/>
        <w:numPr>
          <w:ilvl w:val="3"/>
          <w:numId w:val="27"/>
        </w:numPr>
        <w:spacing w:before="0" w:beforeAutospacing="0" w:after="0" w:afterAutospacing="0"/>
        <w:rPr>
          <w:b/>
        </w:rPr>
      </w:pPr>
      <w:r>
        <w:lastRenderedPageBreak/>
        <w:t>PHQ-2 assessment consists of questions about depressed mood and anhedonia, as the cardinal symptoms of depression</w:t>
      </w:r>
    </w:p>
    <w:p w:rsidR="00A07F2B" w:rsidRPr="002D750B" w:rsidRDefault="00A07F2B" w:rsidP="00A07F2B">
      <w:pPr>
        <w:pStyle w:val="NormalWeb"/>
        <w:numPr>
          <w:ilvl w:val="3"/>
          <w:numId w:val="27"/>
        </w:numPr>
        <w:spacing w:before="0" w:beforeAutospacing="0" w:after="0" w:afterAutospacing="0"/>
        <w:rPr>
          <w:b/>
        </w:rPr>
      </w:pPr>
      <w:r>
        <w:t>PHQ-9 assessment is administered if the patient demonstrates signs of depression under the PHQ-2</w:t>
      </w:r>
    </w:p>
    <w:p w:rsidR="00A07F2B" w:rsidRPr="00B84CE6" w:rsidRDefault="00A07F2B" w:rsidP="00A07F2B">
      <w:pPr>
        <w:pStyle w:val="NormalWeb"/>
        <w:numPr>
          <w:ilvl w:val="1"/>
          <w:numId w:val="27"/>
        </w:numPr>
        <w:spacing w:before="0" w:beforeAutospacing="0" w:after="0" w:afterAutospacing="0"/>
        <w:rPr>
          <w:b/>
        </w:rPr>
      </w:pPr>
      <w:r>
        <w:t>Special Services</w:t>
      </w:r>
    </w:p>
    <w:p w:rsidR="00A07F2B" w:rsidRPr="00B84CE6" w:rsidRDefault="00A07F2B" w:rsidP="00A07F2B">
      <w:pPr>
        <w:pStyle w:val="NormalWeb"/>
        <w:numPr>
          <w:ilvl w:val="2"/>
          <w:numId w:val="27"/>
        </w:numPr>
        <w:spacing w:before="0" w:beforeAutospacing="0" w:after="0" w:afterAutospacing="0"/>
        <w:rPr>
          <w:b/>
        </w:rPr>
      </w:pPr>
      <w:r>
        <w:t>Cancer Treatment:  Chemotherapy (IV, Oral, Other) – assessor must report whether a patient is receiving chemotherapy and, if so, the route of administration</w:t>
      </w:r>
    </w:p>
    <w:p w:rsidR="00A07F2B" w:rsidRPr="00B84CE6" w:rsidRDefault="00A07F2B" w:rsidP="00A07F2B">
      <w:pPr>
        <w:pStyle w:val="NormalWeb"/>
        <w:numPr>
          <w:ilvl w:val="2"/>
          <w:numId w:val="27"/>
        </w:numPr>
        <w:spacing w:before="0" w:beforeAutospacing="0" w:after="0" w:afterAutospacing="0"/>
        <w:rPr>
          <w:b/>
        </w:rPr>
      </w:pPr>
      <w:r>
        <w:t>Cancer Treatment:  Radiation</w:t>
      </w:r>
    </w:p>
    <w:p w:rsidR="00A07F2B" w:rsidRPr="00B84CE6" w:rsidRDefault="00A07F2B" w:rsidP="00A07F2B">
      <w:pPr>
        <w:pStyle w:val="NormalWeb"/>
        <w:numPr>
          <w:ilvl w:val="2"/>
          <w:numId w:val="27"/>
        </w:numPr>
        <w:spacing w:before="0" w:beforeAutospacing="0" w:after="0" w:afterAutospacing="0"/>
        <w:rPr>
          <w:b/>
        </w:rPr>
      </w:pPr>
      <w:r>
        <w:t>Respiratory Treatment:  Oxygen Therapy (Intermittent, Continuous, High-concentration Oxygen Delivery System) – assessor must report whether a patient is receiving oxygen therapy and, if so, the intensity of therapy</w:t>
      </w:r>
    </w:p>
    <w:p w:rsidR="00A07F2B" w:rsidRPr="00B84CE6" w:rsidRDefault="00A07F2B" w:rsidP="00A07F2B">
      <w:pPr>
        <w:pStyle w:val="NormalWeb"/>
        <w:numPr>
          <w:ilvl w:val="2"/>
          <w:numId w:val="27"/>
        </w:numPr>
        <w:spacing w:before="0" w:beforeAutospacing="0" w:after="0" w:afterAutospacing="0"/>
        <w:rPr>
          <w:b/>
        </w:rPr>
      </w:pPr>
      <w:r>
        <w:t>Respiratory Therapy:  Suctioning (Scheduled, As Needed) - assessor must report whether a patient is receiving oxygen therapy and, if so, the intensity of suctioning ordered</w:t>
      </w:r>
    </w:p>
    <w:p w:rsidR="00A07F2B" w:rsidRPr="00B84CE6" w:rsidRDefault="00A07F2B" w:rsidP="00A07F2B">
      <w:pPr>
        <w:pStyle w:val="NormalWeb"/>
        <w:numPr>
          <w:ilvl w:val="2"/>
          <w:numId w:val="27"/>
        </w:numPr>
        <w:spacing w:before="0" w:beforeAutospacing="0" w:after="0" w:afterAutospacing="0"/>
        <w:rPr>
          <w:b/>
        </w:rPr>
      </w:pPr>
      <w:r>
        <w:t>Respiratory Therapy:  Tracheostomy Care</w:t>
      </w:r>
    </w:p>
    <w:p w:rsidR="00A07F2B" w:rsidRPr="006D59AD" w:rsidRDefault="00A07F2B" w:rsidP="00A07F2B">
      <w:pPr>
        <w:pStyle w:val="NormalWeb"/>
        <w:numPr>
          <w:ilvl w:val="2"/>
          <w:numId w:val="27"/>
        </w:numPr>
        <w:spacing w:before="0" w:beforeAutospacing="0" w:after="0" w:afterAutospacing="0"/>
        <w:rPr>
          <w:b/>
        </w:rPr>
      </w:pPr>
      <w:r>
        <w:t>Respiratory Therapy:  Non-invasive Mechanical Ventilator (Bilevel Positive Airway Pressure [BiPAP], Continuous Positive Airway Pressure [CPAP]) – assessor must report whether a patient is receiving mechanical ventilation and, if so, the type</w:t>
      </w:r>
    </w:p>
    <w:p w:rsidR="00A07F2B" w:rsidRPr="006D59AD" w:rsidRDefault="00A07F2B" w:rsidP="00A07F2B">
      <w:pPr>
        <w:pStyle w:val="NormalWeb"/>
        <w:numPr>
          <w:ilvl w:val="2"/>
          <w:numId w:val="27"/>
        </w:numPr>
        <w:spacing w:before="0" w:beforeAutospacing="0" w:after="0" w:afterAutospacing="0"/>
        <w:rPr>
          <w:b/>
        </w:rPr>
      </w:pPr>
      <w:r>
        <w:t>Respiratory Treatment:  Invasive Mechanical Ventilator</w:t>
      </w:r>
    </w:p>
    <w:p w:rsidR="00A07F2B" w:rsidRPr="006D59AD" w:rsidRDefault="00A07F2B" w:rsidP="00A07F2B">
      <w:pPr>
        <w:pStyle w:val="NormalWeb"/>
        <w:numPr>
          <w:ilvl w:val="2"/>
          <w:numId w:val="27"/>
        </w:numPr>
        <w:spacing w:before="0" w:beforeAutospacing="0" w:after="0" w:afterAutospacing="0"/>
        <w:rPr>
          <w:b/>
        </w:rPr>
      </w:pPr>
      <w:r>
        <w:t>Intravenous (IV) Medication (Antibiotics, Anticoagulants, Vasoactive Medications, Other) – assessor must report whether a patient is receiving intravenous medications (whether by injection or IV catheter) and, if so, the nature of the medication</w:t>
      </w:r>
    </w:p>
    <w:p w:rsidR="00A07F2B" w:rsidRPr="006D59AD" w:rsidRDefault="00A07F2B" w:rsidP="00A07F2B">
      <w:pPr>
        <w:pStyle w:val="NormalWeb"/>
        <w:numPr>
          <w:ilvl w:val="2"/>
          <w:numId w:val="27"/>
        </w:numPr>
        <w:spacing w:before="0" w:beforeAutospacing="0" w:after="0" w:afterAutospacing="0"/>
        <w:rPr>
          <w:b/>
        </w:rPr>
      </w:pPr>
      <w:r>
        <w:t>Transfusions</w:t>
      </w:r>
    </w:p>
    <w:p w:rsidR="00A07F2B" w:rsidRPr="006D59AD" w:rsidRDefault="00A07F2B" w:rsidP="00A07F2B">
      <w:pPr>
        <w:pStyle w:val="NormalWeb"/>
        <w:numPr>
          <w:ilvl w:val="2"/>
          <w:numId w:val="27"/>
        </w:numPr>
        <w:spacing w:before="0" w:beforeAutospacing="0" w:after="0" w:afterAutospacing="0"/>
        <w:rPr>
          <w:b/>
        </w:rPr>
      </w:pPr>
      <w:r>
        <w:t>Dialysis (Hemodialysis, Peritoneal Dialysis) – assessor must report whether a patient is receiving dialysis and, if so, the type</w:t>
      </w:r>
    </w:p>
    <w:p w:rsidR="00A07F2B" w:rsidRPr="006D59AD" w:rsidRDefault="00A07F2B" w:rsidP="00A07F2B">
      <w:pPr>
        <w:pStyle w:val="NormalWeb"/>
        <w:numPr>
          <w:ilvl w:val="2"/>
          <w:numId w:val="27"/>
        </w:numPr>
        <w:spacing w:before="0" w:beforeAutospacing="0" w:after="0" w:afterAutospacing="0"/>
        <w:rPr>
          <w:b/>
        </w:rPr>
      </w:pPr>
      <w:r>
        <w:t>Intravenous (IV) Access (Peripheral IV, Midline, Central Line) – assessor must report whether a patient has IV access and, if so, the type</w:t>
      </w:r>
    </w:p>
    <w:p w:rsidR="00A07F2B" w:rsidRPr="006D59AD" w:rsidRDefault="00A07F2B" w:rsidP="00A07F2B">
      <w:pPr>
        <w:pStyle w:val="NormalWeb"/>
        <w:numPr>
          <w:ilvl w:val="2"/>
          <w:numId w:val="27"/>
        </w:numPr>
        <w:spacing w:before="0" w:beforeAutospacing="0" w:after="0" w:afterAutospacing="0"/>
        <w:rPr>
          <w:b/>
        </w:rPr>
      </w:pPr>
      <w:r>
        <w:t>Nutritional Approach:  Parenteral/IV Feeding</w:t>
      </w:r>
    </w:p>
    <w:p w:rsidR="00A07F2B" w:rsidRPr="006D59AD" w:rsidRDefault="00A07F2B" w:rsidP="00A07F2B">
      <w:pPr>
        <w:pStyle w:val="NormalWeb"/>
        <w:numPr>
          <w:ilvl w:val="2"/>
          <w:numId w:val="27"/>
        </w:numPr>
        <w:spacing w:before="0" w:beforeAutospacing="0" w:after="0" w:afterAutospacing="0"/>
        <w:rPr>
          <w:b/>
        </w:rPr>
      </w:pPr>
      <w:r>
        <w:t>Nutritional Approach:  Feeding Tube – includes both nasogastric feeding tubes and tubes inserted through the skin on the abdomen</w:t>
      </w:r>
    </w:p>
    <w:p w:rsidR="00A07F2B" w:rsidRPr="006D59AD" w:rsidRDefault="00A07F2B" w:rsidP="00A07F2B">
      <w:pPr>
        <w:pStyle w:val="NormalWeb"/>
        <w:numPr>
          <w:ilvl w:val="2"/>
          <w:numId w:val="27"/>
        </w:numPr>
        <w:spacing w:before="0" w:beforeAutospacing="0" w:after="0" w:afterAutospacing="0"/>
        <w:rPr>
          <w:b/>
        </w:rPr>
      </w:pPr>
      <w:r>
        <w:t>Nutritional Approach:  Mechanically Altered Diet</w:t>
      </w:r>
    </w:p>
    <w:p w:rsidR="00A07F2B" w:rsidRPr="006D59AD" w:rsidRDefault="00A07F2B" w:rsidP="00A07F2B">
      <w:pPr>
        <w:pStyle w:val="NormalWeb"/>
        <w:numPr>
          <w:ilvl w:val="2"/>
          <w:numId w:val="27"/>
        </w:numPr>
        <w:spacing w:before="0" w:beforeAutospacing="0" w:after="0" w:afterAutospacing="0"/>
        <w:rPr>
          <w:b/>
        </w:rPr>
      </w:pPr>
      <w:r>
        <w:t>Nutritional Approach:  Therapeutic Diet – includes meals planned to increase, decrease, or eliminate specific foods or nutrients in a patient’s diet for the purpose of treating a medical condition</w:t>
      </w:r>
    </w:p>
    <w:p w:rsidR="00A07F2B" w:rsidRPr="006D59AD" w:rsidRDefault="00A07F2B" w:rsidP="00A07F2B">
      <w:pPr>
        <w:pStyle w:val="NormalWeb"/>
        <w:numPr>
          <w:ilvl w:val="2"/>
          <w:numId w:val="27"/>
        </w:numPr>
        <w:spacing w:before="0" w:beforeAutospacing="0" w:after="0" w:afterAutospacing="0"/>
        <w:rPr>
          <w:b/>
        </w:rPr>
      </w:pPr>
      <w:r>
        <w:t>High-risk Drug Classes:  Use and Indication</w:t>
      </w:r>
    </w:p>
    <w:p w:rsidR="00A07F2B" w:rsidRPr="006D59AD" w:rsidRDefault="00A07F2B" w:rsidP="00A07F2B">
      <w:pPr>
        <w:pStyle w:val="NormalWeb"/>
        <w:numPr>
          <w:ilvl w:val="3"/>
          <w:numId w:val="27"/>
        </w:numPr>
        <w:spacing w:before="0" w:beforeAutospacing="0" w:after="0" w:afterAutospacing="0"/>
        <w:rPr>
          <w:b/>
        </w:rPr>
      </w:pPr>
      <w:r>
        <w:t>Includes six sub-elements:  anticoagulants, antiplatelets, hypoglycemic (including insulin), opioids, antipsychotics, and antibiotics</w:t>
      </w:r>
    </w:p>
    <w:p w:rsidR="00A07F2B" w:rsidRPr="001F166A" w:rsidRDefault="00A07F2B" w:rsidP="00A07F2B">
      <w:pPr>
        <w:pStyle w:val="NormalWeb"/>
        <w:numPr>
          <w:ilvl w:val="3"/>
          <w:numId w:val="27"/>
        </w:numPr>
        <w:spacing w:before="0" w:beforeAutospacing="0" w:after="0" w:afterAutospacing="0"/>
        <w:rPr>
          <w:b/>
        </w:rPr>
      </w:pPr>
      <w:r>
        <w:t>Assessor must identify whether the patient is taking any drug within any of the six drug classes</w:t>
      </w:r>
    </w:p>
    <w:p w:rsidR="00A07F2B" w:rsidRPr="002D750B" w:rsidRDefault="00A07F2B" w:rsidP="00A07F2B">
      <w:pPr>
        <w:pStyle w:val="NormalWeb"/>
        <w:numPr>
          <w:ilvl w:val="3"/>
          <w:numId w:val="27"/>
        </w:numPr>
        <w:spacing w:before="0" w:beforeAutospacing="0" w:after="0" w:afterAutospacing="0"/>
        <w:rPr>
          <w:b/>
        </w:rPr>
      </w:pPr>
      <w:r>
        <w:lastRenderedPageBreak/>
        <w:t>For each drug class where a drug is being taken, the assessor must note whether indications for all drugs in the class are noted in the medical record</w:t>
      </w:r>
    </w:p>
    <w:p w:rsidR="00A07F2B" w:rsidRPr="001F166A" w:rsidRDefault="00A07F2B" w:rsidP="00A07F2B">
      <w:pPr>
        <w:pStyle w:val="NormalWeb"/>
        <w:numPr>
          <w:ilvl w:val="1"/>
          <w:numId w:val="27"/>
        </w:numPr>
        <w:spacing w:before="0" w:beforeAutospacing="0" w:after="0" w:afterAutospacing="0"/>
        <w:rPr>
          <w:b/>
        </w:rPr>
      </w:pPr>
      <w:r>
        <w:t>Medical Conditions and Comorbidities</w:t>
      </w:r>
    </w:p>
    <w:p w:rsidR="00A07F2B" w:rsidRPr="002D750B" w:rsidRDefault="00A07F2B" w:rsidP="00A07F2B">
      <w:pPr>
        <w:pStyle w:val="NormalWeb"/>
        <w:numPr>
          <w:ilvl w:val="2"/>
          <w:numId w:val="27"/>
        </w:numPr>
        <w:spacing w:before="0" w:beforeAutospacing="0" w:after="0" w:afterAutospacing="0"/>
        <w:rPr>
          <w:b/>
        </w:rPr>
      </w:pPr>
      <w:r>
        <w:t>Pain Interference (Pain Effect on Sleep, Pain Interference with Therapy Activities, and Pain Interference with Day-to-Day Activities) – assessor must report whether a patient is experiencing pain interference and, if so, which types</w:t>
      </w:r>
    </w:p>
    <w:p w:rsidR="00A07F2B" w:rsidRPr="001F166A" w:rsidRDefault="00A07F2B" w:rsidP="00A07F2B">
      <w:pPr>
        <w:pStyle w:val="NormalWeb"/>
        <w:numPr>
          <w:ilvl w:val="1"/>
          <w:numId w:val="27"/>
        </w:numPr>
        <w:spacing w:before="0" w:beforeAutospacing="0" w:after="0" w:afterAutospacing="0"/>
        <w:rPr>
          <w:b/>
        </w:rPr>
      </w:pPr>
      <w:r>
        <w:t>Impairments</w:t>
      </w:r>
    </w:p>
    <w:p w:rsidR="00A07F2B" w:rsidRPr="001F166A" w:rsidRDefault="00A07F2B" w:rsidP="00A07F2B">
      <w:pPr>
        <w:pStyle w:val="NormalWeb"/>
        <w:numPr>
          <w:ilvl w:val="2"/>
          <w:numId w:val="27"/>
        </w:numPr>
        <w:spacing w:before="0" w:beforeAutospacing="0" w:after="0" w:afterAutospacing="0"/>
        <w:rPr>
          <w:b/>
        </w:rPr>
      </w:pPr>
      <w:r>
        <w:t>Hearing</w:t>
      </w:r>
    </w:p>
    <w:p w:rsidR="00A07F2B" w:rsidRPr="001F166A" w:rsidRDefault="00A07F2B" w:rsidP="00A07F2B">
      <w:pPr>
        <w:pStyle w:val="NormalWeb"/>
        <w:numPr>
          <w:ilvl w:val="2"/>
          <w:numId w:val="27"/>
        </w:numPr>
        <w:spacing w:before="0" w:beforeAutospacing="0" w:after="0" w:afterAutospacing="0"/>
        <w:rPr>
          <w:b/>
        </w:rPr>
      </w:pPr>
      <w:r>
        <w:t>Vision – One question (Ability to See in Adequate Light) with five set responses</w:t>
      </w:r>
    </w:p>
    <w:p w:rsidR="00A07F2B" w:rsidRPr="002D750B" w:rsidRDefault="00A07F2B" w:rsidP="00A07F2B">
      <w:pPr>
        <w:pStyle w:val="NormalWeb"/>
        <w:spacing w:before="0" w:beforeAutospacing="0" w:after="0" w:afterAutospacing="0"/>
        <w:ind w:left="1440"/>
        <w:rPr>
          <w:b/>
        </w:rPr>
      </w:pPr>
    </w:p>
    <w:p w:rsidR="00A07F2B" w:rsidRDefault="00A07F2B" w:rsidP="00A07F2B">
      <w:pPr>
        <w:pStyle w:val="NormalWeb"/>
        <w:keepNext/>
        <w:spacing w:before="0" w:beforeAutospacing="0" w:after="0" w:afterAutospacing="0"/>
        <w:ind w:left="720"/>
      </w:pPr>
      <w:r>
        <w:t>A sixth category of data collection also exists, encompassing “other categories deemed necessary and important by the Secretary.”  Under this category, CMS proposes to add “Social Determinants of Health.”  This category is meant to identify patients with known social risk factors, or health-related social needs by classifying patients on seven elements:</w:t>
      </w:r>
    </w:p>
    <w:p w:rsidR="00A07F2B" w:rsidRDefault="00A07F2B" w:rsidP="00A07F2B">
      <w:pPr>
        <w:pStyle w:val="NormalWeb"/>
        <w:keepNext/>
        <w:spacing w:before="0" w:beforeAutospacing="0" w:after="0" w:afterAutospacing="0"/>
        <w:ind w:left="720"/>
      </w:pPr>
    </w:p>
    <w:p w:rsidR="00A07F2B" w:rsidRDefault="00A07F2B" w:rsidP="00A07F2B">
      <w:pPr>
        <w:pStyle w:val="NormalWeb"/>
        <w:numPr>
          <w:ilvl w:val="0"/>
          <w:numId w:val="36"/>
        </w:numPr>
        <w:spacing w:before="0" w:beforeAutospacing="0" w:after="0" w:afterAutospacing="0"/>
      </w:pPr>
      <w:r>
        <w:t>Race</w:t>
      </w:r>
    </w:p>
    <w:p w:rsidR="00A07F2B" w:rsidRDefault="00A07F2B" w:rsidP="00A07F2B">
      <w:pPr>
        <w:pStyle w:val="NormalWeb"/>
        <w:numPr>
          <w:ilvl w:val="0"/>
          <w:numId w:val="36"/>
        </w:numPr>
        <w:spacing w:before="0" w:beforeAutospacing="0" w:after="0" w:afterAutospacing="0"/>
      </w:pPr>
      <w:r>
        <w:t>Ethnicity</w:t>
      </w:r>
    </w:p>
    <w:p w:rsidR="00A07F2B" w:rsidRDefault="00A07F2B" w:rsidP="00A07F2B">
      <w:pPr>
        <w:pStyle w:val="NormalWeb"/>
        <w:numPr>
          <w:ilvl w:val="0"/>
          <w:numId w:val="36"/>
        </w:numPr>
        <w:spacing w:before="0" w:beforeAutospacing="0" w:after="0" w:afterAutospacing="0"/>
      </w:pPr>
      <w:r>
        <w:t>Preferred language</w:t>
      </w:r>
    </w:p>
    <w:p w:rsidR="00A07F2B" w:rsidRDefault="00A07F2B" w:rsidP="00A07F2B">
      <w:pPr>
        <w:pStyle w:val="NormalWeb"/>
        <w:numPr>
          <w:ilvl w:val="0"/>
          <w:numId w:val="36"/>
        </w:numPr>
        <w:spacing w:before="0" w:beforeAutospacing="0" w:after="0" w:afterAutospacing="0"/>
      </w:pPr>
      <w:r>
        <w:t>Interpreter services</w:t>
      </w:r>
    </w:p>
    <w:p w:rsidR="00A07F2B" w:rsidRDefault="00A07F2B" w:rsidP="00A07F2B">
      <w:pPr>
        <w:pStyle w:val="NormalWeb"/>
        <w:numPr>
          <w:ilvl w:val="0"/>
          <w:numId w:val="36"/>
        </w:numPr>
        <w:spacing w:before="0" w:beforeAutospacing="0" w:after="0" w:afterAutospacing="0"/>
      </w:pPr>
      <w:r>
        <w:t>Health literacy</w:t>
      </w:r>
    </w:p>
    <w:p w:rsidR="00A07F2B" w:rsidRDefault="00A07F2B" w:rsidP="00A07F2B">
      <w:pPr>
        <w:pStyle w:val="NormalWeb"/>
        <w:numPr>
          <w:ilvl w:val="0"/>
          <w:numId w:val="36"/>
        </w:numPr>
        <w:spacing w:before="0" w:beforeAutospacing="0" w:after="0" w:afterAutospacing="0"/>
      </w:pPr>
      <w:r>
        <w:t>Transportation</w:t>
      </w:r>
    </w:p>
    <w:p w:rsidR="00A07F2B" w:rsidRDefault="00A07F2B" w:rsidP="00A07F2B">
      <w:pPr>
        <w:pStyle w:val="NormalWeb"/>
        <w:numPr>
          <w:ilvl w:val="0"/>
          <w:numId w:val="36"/>
        </w:numPr>
        <w:spacing w:before="0" w:beforeAutospacing="0" w:after="0" w:afterAutospacing="0"/>
      </w:pPr>
      <w:r>
        <w:t>Social isolation</w:t>
      </w:r>
    </w:p>
    <w:p w:rsidR="00A07F2B" w:rsidRDefault="00A07F2B" w:rsidP="00A07F2B">
      <w:pPr>
        <w:pStyle w:val="NormalWeb"/>
        <w:spacing w:before="0" w:beforeAutospacing="0" w:after="0" w:afterAutospacing="0"/>
      </w:pPr>
    </w:p>
    <w:p w:rsidR="00A07F2B" w:rsidRDefault="00A07F2B" w:rsidP="00A07F2B">
      <w:pPr>
        <w:pStyle w:val="NormalWeb"/>
        <w:spacing w:before="0" w:beforeAutospacing="0" w:after="0" w:afterAutospacing="0"/>
        <w:ind w:left="720"/>
      </w:pPr>
      <w:r>
        <w:t>Each element is proposed to be reported via the IRF-PAI.  More details are available on each element within the proposed rule.</w:t>
      </w:r>
    </w:p>
    <w:p w:rsidR="00A07F2B" w:rsidRDefault="00A07F2B" w:rsidP="00A07F2B">
      <w:pPr>
        <w:pStyle w:val="NormalWeb"/>
        <w:spacing w:before="0" w:beforeAutospacing="0" w:after="0" w:afterAutospacing="0"/>
        <w:ind w:left="720"/>
      </w:pPr>
    </w:p>
    <w:p w:rsidR="00A07F2B" w:rsidRDefault="00A07F2B" w:rsidP="00A07F2B">
      <w:pPr>
        <w:pStyle w:val="NormalWeb"/>
        <w:spacing w:before="0" w:beforeAutospacing="0" w:after="0" w:afterAutospacing="0"/>
        <w:ind w:left="720"/>
      </w:pPr>
      <w:r>
        <w:t>Many of these SPADEs were initially proposed by CMS for FY 2018—additional commentary and details are available within the current proposed rule and that older proposed rule.  If finalized, the current proposal would require IRFs to report these data with respect to patients discharged between October 1, 2020 and December 31, 2020 for the FY 2022 IRF QRP, with subsequent reporting on each full calendar year for fiscal years beginning FY 2023.  CMS also proposes that any reporting for the Hearing, Vision, Race, and Ethnicity SPADEs at a patient’s admission is deemed to also satisfy reporting requirements for discharge, since those elements are unlikely to change in the intervening period.</w:t>
      </w:r>
    </w:p>
    <w:p w:rsidR="00A07F2B" w:rsidRDefault="00A07F2B" w:rsidP="00A07F2B">
      <w:pPr>
        <w:pStyle w:val="NormalWeb"/>
        <w:spacing w:before="0" w:beforeAutospacing="0" w:after="0" w:afterAutospacing="0"/>
        <w:ind w:left="720"/>
      </w:pPr>
    </w:p>
    <w:p w:rsidR="00A07F2B" w:rsidRPr="00632B9C" w:rsidRDefault="00A07F2B" w:rsidP="00A07F2B">
      <w:pPr>
        <w:pStyle w:val="NormalWeb"/>
        <w:spacing w:before="0" w:beforeAutospacing="0" w:after="0" w:afterAutospacing="0"/>
        <w:ind w:left="720"/>
        <w:rPr>
          <w:b/>
        </w:rPr>
      </w:pPr>
      <w:r>
        <w:t>Finally, CMS proposes that IRFs collect data (via the IRF-PAI) on all patients, regardless of payer.  If finalized, this change will become effective beginning with patients discharged on or after October 1, 2020.</w:t>
      </w:r>
    </w:p>
    <w:p w:rsidR="00A07F2B" w:rsidRDefault="00A07F2B" w:rsidP="00A07F2B">
      <w:pPr>
        <w:pStyle w:val="NormalWeb"/>
        <w:spacing w:before="0" w:beforeAutospacing="0" w:after="0" w:afterAutospacing="0"/>
        <w:rPr>
          <w:b/>
        </w:rPr>
      </w:pPr>
    </w:p>
    <w:p w:rsidR="00A07F2B" w:rsidRDefault="00A07F2B" w:rsidP="00A07F2B">
      <w:pPr>
        <w:pStyle w:val="NormalWeb"/>
        <w:spacing w:before="0" w:beforeAutospacing="0" w:after="0" w:afterAutospacing="0"/>
        <w:rPr>
          <w:b/>
        </w:rPr>
      </w:pPr>
    </w:p>
    <w:p w:rsidR="00A07F2B" w:rsidRPr="00632B9C" w:rsidRDefault="00A07F2B" w:rsidP="00A07F2B">
      <w:pPr>
        <w:pStyle w:val="NormalWeb"/>
        <w:spacing w:before="0" w:beforeAutospacing="0" w:after="0" w:afterAutospacing="0"/>
        <w:rPr>
          <w:b/>
        </w:rPr>
      </w:pPr>
    </w:p>
    <w:p w:rsidR="00A07F2B" w:rsidRDefault="00A07F2B" w:rsidP="00A07F2B">
      <w:pPr>
        <w:ind w:right="18"/>
        <w:jc w:val="both"/>
        <w:rPr>
          <w:b/>
        </w:rPr>
      </w:pPr>
      <w:r>
        <w:rPr>
          <w:b/>
        </w:rPr>
        <w:lastRenderedPageBreak/>
        <w:t>Conclusion</w:t>
      </w:r>
    </w:p>
    <w:p w:rsidR="00A07F2B" w:rsidRDefault="00A07F2B" w:rsidP="00A07F2B">
      <w:pPr>
        <w:ind w:right="18"/>
        <w:jc w:val="both"/>
        <w:rPr>
          <w:b/>
        </w:rPr>
      </w:pPr>
    </w:p>
    <w:p w:rsidR="00A07F2B" w:rsidRPr="00162F03" w:rsidRDefault="00A07F2B" w:rsidP="00A07F2B">
      <w:pPr>
        <w:ind w:right="18"/>
      </w:pPr>
      <w:r>
        <w:t>The IRF proposed rule is highly technical but provides some important opportunities to comment for rehabilitation stakeholders.</w:t>
      </w:r>
      <w:r>
        <w:rPr>
          <w:rFonts w:eastAsia="Times New Roman"/>
          <w:szCs w:val="24"/>
        </w:rPr>
        <w:t xml:space="preserve">  </w:t>
      </w:r>
      <w:r>
        <w:t>In particular, stakeholders should consider providing input on the new weighted motor score, the elimination of the roll left and roll right skill from the motor score, the compression of certain CMGs potentially affecting brain injury and stroke patients, and the proposed SPADEs under the quality reporting provisions.  The proposed change to the definition of “rehabilitation physician” also provides a meaningful opportunity for stakeholders to weigh-in on this important issue.</w:t>
      </w:r>
    </w:p>
    <w:p w:rsidR="00A07F2B" w:rsidRPr="00391680" w:rsidRDefault="00A07F2B" w:rsidP="00A07F2B"/>
    <w:p w:rsidR="00162F03" w:rsidRPr="00A07F2B" w:rsidRDefault="00162F03" w:rsidP="00A07F2B"/>
    <w:sectPr w:rsidR="00162F03" w:rsidRPr="00A07F2B" w:rsidSect="00762D8A">
      <w:headerReference w:type="default" r:id="rId10"/>
      <w:footerReference w:type="default" r:id="rId11"/>
      <w:headerReference w:type="first" r:id="rId12"/>
      <w:footerReference w:type="first" r:id="rId13"/>
      <w:pgSz w:w="12240" w:h="15840" w:code="1"/>
      <w:pgMar w:top="1152" w:right="1296" w:bottom="720" w:left="1296" w:header="720" w:footer="288"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C4D" w:rsidRDefault="006B4C4D" w:rsidP="00F90E79">
      <w:r>
        <w:separator/>
      </w:r>
    </w:p>
  </w:endnote>
  <w:endnote w:type="continuationSeparator" w:id="0">
    <w:p w:rsidR="006B4C4D" w:rsidRDefault="006B4C4D" w:rsidP="00F90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936" w:rsidRPr="00340478" w:rsidRDefault="006B4C4D" w:rsidP="00762D8A">
    <w:pPr>
      <w:pStyle w:val="Footer"/>
      <w:jc w:val="center"/>
    </w:pPr>
    <w:sdt>
      <w:sdtPr>
        <w:id w:val="-462039555"/>
        <w:docPartObj>
          <w:docPartGallery w:val="Page Numbers (Bottom of Page)"/>
          <w:docPartUnique/>
        </w:docPartObj>
      </w:sdtPr>
      <w:sdtEndPr>
        <w:rPr>
          <w:noProof/>
        </w:rPr>
      </w:sdtEndPr>
      <w:sdtContent>
        <w:r w:rsidR="00036936" w:rsidRPr="00340478">
          <w:fldChar w:fldCharType="begin"/>
        </w:r>
        <w:r w:rsidR="00036936" w:rsidRPr="00340478">
          <w:instrText xml:space="preserve"> PAGE   \* MERGEFORMAT </w:instrText>
        </w:r>
        <w:r w:rsidR="00036936" w:rsidRPr="00340478">
          <w:fldChar w:fldCharType="separate"/>
        </w:r>
        <w:r w:rsidR="00555173">
          <w:rPr>
            <w:noProof/>
          </w:rPr>
          <w:t>2</w:t>
        </w:r>
        <w:r w:rsidR="00036936" w:rsidRPr="00340478">
          <w:fldChar w:fldCharType="end"/>
        </w:r>
      </w:sdtContent>
    </w:sdt>
  </w:p>
  <w:p w:rsidR="00036936" w:rsidRPr="004A61A2" w:rsidRDefault="00036936" w:rsidP="004A61A2">
    <w:pPr>
      <w:pStyle w:val="Footer"/>
      <w:ind w:left="-540" w:right="-360"/>
      <w:jc w:val="center"/>
      <w:rPr>
        <w:rFonts w:ascii="Corbel" w:hAnsi="Corbel" w:cs="Arial"/>
        <w:color w:val="365F91"/>
        <w:sz w:val="18"/>
        <w:u w:val="single"/>
      </w:rPr>
    </w:pPr>
    <w:r w:rsidRPr="004A61A2">
      <w:rPr>
        <w:rFonts w:ascii="Corbel" w:hAnsi="Corbel" w:cs="Arial"/>
        <w:color w:val="365F91"/>
        <w:sz w:val="18"/>
        <w:u w:val="single"/>
      </w:rPr>
      <w:t>____________________________________________________________________________________________________________________</w:t>
    </w:r>
  </w:p>
  <w:p w:rsidR="00036936" w:rsidRPr="00340478" w:rsidRDefault="00036936" w:rsidP="003F3909">
    <w:pPr>
      <w:pStyle w:val="Footer"/>
      <w:ind w:right="-360"/>
      <w:rPr>
        <w:rFonts w:ascii="Corbel" w:hAnsi="Corbel" w:cs="Arial"/>
        <w:color w:val="365F91"/>
        <w:sz w:val="18"/>
      </w:rPr>
    </w:pPr>
  </w:p>
  <w:p w:rsidR="00036936" w:rsidRPr="00340478" w:rsidRDefault="00036936" w:rsidP="00971557">
    <w:pPr>
      <w:pStyle w:val="Footer"/>
      <w:ind w:left="-540" w:right="-360"/>
      <w:rPr>
        <w:rFonts w:ascii="Corbel" w:hAnsi="Corbel" w:cs="Arial"/>
        <w:color w:val="365F91"/>
        <w:sz w:val="18"/>
      </w:rPr>
    </w:pPr>
    <w:r>
      <w:rPr>
        <w:rFonts w:ascii="Corbel" w:hAnsi="Corbel" w:cs="Arial"/>
        <w:color w:val="365F91"/>
        <w:sz w:val="18"/>
      </w:rPr>
      <w:t xml:space="preserve">  </w:t>
    </w:r>
    <w:r w:rsidRPr="00340478">
      <w:rPr>
        <w:rFonts w:ascii="Corbel" w:hAnsi="Corbel" w:cs="Arial"/>
        <w:color w:val="365F91"/>
        <w:sz w:val="18"/>
      </w:rPr>
      <w:t xml:space="preserve">1501 M STREET, NW   </w:t>
    </w:r>
    <w:r w:rsidRPr="00340478">
      <w:rPr>
        <w:rFonts w:ascii="Corbel" w:hAnsi="Corbel" w:cs="Arial"/>
        <w:sz w:val="18"/>
      </w:rPr>
      <w:sym w:font="Wingdings" w:char="F06E"/>
    </w:r>
    <w:r w:rsidRPr="00340478">
      <w:rPr>
        <w:rFonts w:ascii="Corbel" w:hAnsi="Corbel" w:cs="Arial"/>
        <w:color w:val="365F91"/>
        <w:sz w:val="18"/>
      </w:rPr>
      <w:t xml:space="preserve">   SEVENTH FLOOR   </w:t>
    </w:r>
    <w:r w:rsidRPr="00340478">
      <w:rPr>
        <w:rFonts w:ascii="Corbel" w:hAnsi="Corbel" w:cs="Arial"/>
        <w:sz w:val="18"/>
      </w:rPr>
      <w:sym w:font="Wingdings" w:char="F06E"/>
    </w:r>
    <w:r w:rsidRPr="00340478">
      <w:rPr>
        <w:rFonts w:ascii="Corbel" w:hAnsi="Corbel" w:cs="Arial"/>
        <w:color w:val="365F91"/>
        <w:sz w:val="18"/>
      </w:rPr>
      <w:t xml:space="preserve">   WASHINGTON DC  20005   </w:t>
    </w:r>
    <w:r w:rsidRPr="00340478">
      <w:rPr>
        <w:rFonts w:ascii="Corbel" w:hAnsi="Corbel" w:cs="Arial"/>
        <w:sz w:val="18"/>
      </w:rPr>
      <w:sym w:font="Wingdings" w:char="F06E"/>
    </w:r>
    <w:r w:rsidRPr="00340478">
      <w:rPr>
        <w:rFonts w:ascii="Corbel" w:hAnsi="Corbel" w:cs="Arial"/>
        <w:color w:val="365F91"/>
        <w:sz w:val="18"/>
      </w:rPr>
      <w:t xml:space="preserve">   PH 202.466.6550 </w:t>
    </w:r>
    <w:r w:rsidRPr="00340478">
      <w:rPr>
        <w:rFonts w:ascii="Corbel" w:hAnsi="Corbel" w:cs="Arial"/>
        <w:sz w:val="18"/>
      </w:rPr>
      <w:sym w:font="Wingdings" w:char="F06E"/>
    </w:r>
    <w:r w:rsidRPr="00340478">
      <w:rPr>
        <w:rFonts w:ascii="Corbel" w:hAnsi="Corbel" w:cs="Arial"/>
        <w:color w:val="365F91"/>
        <w:sz w:val="18"/>
      </w:rPr>
      <w:t xml:space="preserve">   FX 202.785.1756    </w:t>
    </w:r>
    <w:r w:rsidRPr="00340478">
      <w:rPr>
        <w:rFonts w:ascii="Corbel" w:hAnsi="Corbel" w:cs="Arial"/>
        <w:sz w:val="18"/>
      </w:rPr>
      <w:sym w:font="Wingdings" w:char="F06E"/>
    </w:r>
    <w:r w:rsidRPr="00340478">
      <w:rPr>
        <w:rFonts w:ascii="Corbel" w:hAnsi="Corbel" w:cs="Arial"/>
        <w:color w:val="365F91"/>
        <w:sz w:val="18"/>
      </w:rPr>
      <w:t xml:space="preserve">   WWW.PPSV.COM</w:t>
    </w:r>
  </w:p>
  <w:p w:rsidR="00036936" w:rsidRPr="00340478" w:rsidRDefault="00036936" w:rsidP="004A61A2">
    <w:pPr>
      <w:pStyle w:val="Footer"/>
      <w:ind w:left="-540" w:right="-360"/>
      <w:rPr>
        <w:rFonts w:ascii="Corbel" w:hAnsi="Corbel" w:cs="Arial"/>
        <w:color w:val="365F91"/>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8058398"/>
      <w:docPartObj>
        <w:docPartGallery w:val="Page Numbers (Bottom of Page)"/>
        <w:docPartUnique/>
      </w:docPartObj>
    </w:sdtPr>
    <w:sdtEndPr>
      <w:rPr>
        <w:noProof/>
      </w:rPr>
    </w:sdtEndPr>
    <w:sdtContent>
      <w:p w:rsidR="00036936" w:rsidRPr="00340478" w:rsidRDefault="00036936" w:rsidP="004A61A2">
        <w:pPr>
          <w:pStyle w:val="Footer"/>
          <w:jc w:val="center"/>
        </w:pPr>
        <w:r w:rsidRPr="00340478">
          <w:fldChar w:fldCharType="begin"/>
        </w:r>
        <w:r w:rsidRPr="00340478">
          <w:instrText xml:space="preserve"> PAGE   \* MERGEFORMAT </w:instrText>
        </w:r>
        <w:r w:rsidRPr="00340478">
          <w:fldChar w:fldCharType="separate"/>
        </w:r>
        <w:r w:rsidR="00555173">
          <w:rPr>
            <w:noProof/>
          </w:rPr>
          <w:t>1</w:t>
        </w:r>
        <w:r w:rsidRPr="00340478">
          <w:fldChar w:fldCharType="end"/>
        </w:r>
      </w:p>
    </w:sdtContent>
  </w:sdt>
  <w:p w:rsidR="00036936" w:rsidRPr="004A61A2" w:rsidRDefault="00036936" w:rsidP="004A61A2">
    <w:pPr>
      <w:pStyle w:val="Footer"/>
      <w:ind w:left="-540" w:right="-360"/>
      <w:jc w:val="center"/>
      <w:rPr>
        <w:rFonts w:ascii="Corbel" w:hAnsi="Corbel" w:cs="Arial"/>
        <w:color w:val="365F91"/>
        <w:sz w:val="18"/>
        <w:u w:val="single"/>
      </w:rPr>
    </w:pPr>
    <w:r>
      <w:rPr>
        <w:rFonts w:ascii="Corbel" w:hAnsi="Corbel" w:cs="Arial"/>
        <w:color w:val="365F91"/>
        <w:sz w:val="18"/>
      </w:rPr>
      <w:t xml:space="preserve">     </w:t>
    </w:r>
    <w:r w:rsidRPr="004A61A2">
      <w:rPr>
        <w:rFonts w:ascii="Corbel" w:hAnsi="Corbel" w:cs="Arial"/>
        <w:color w:val="365F91"/>
        <w:sz w:val="18"/>
        <w:u w:val="single"/>
      </w:rPr>
      <w:t xml:space="preserve"> ____________________________________________________________________________________________________________________</w:t>
    </w:r>
  </w:p>
  <w:p w:rsidR="00036936" w:rsidRPr="00340478" w:rsidRDefault="00036936" w:rsidP="008B4558">
    <w:pPr>
      <w:pStyle w:val="Footer"/>
      <w:ind w:left="-540" w:right="-360"/>
      <w:jc w:val="center"/>
      <w:rPr>
        <w:rFonts w:ascii="Corbel" w:hAnsi="Corbel" w:cs="Arial"/>
        <w:color w:val="365F91"/>
        <w:sz w:val="18"/>
      </w:rPr>
    </w:pPr>
  </w:p>
  <w:p w:rsidR="00036936" w:rsidRPr="00340478" w:rsidRDefault="00036936" w:rsidP="008B4558">
    <w:pPr>
      <w:pStyle w:val="Footer"/>
      <w:ind w:left="-540" w:right="-360"/>
      <w:jc w:val="center"/>
      <w:rPr>
        <w:rFonts w:ascii="Corbel" w:hAnsi="Corbel" w:cs="Arial"/>
        <w:color w:val="365F91"/>
        <w:sz w:val="18"/>
      </w:rPr>
    </w:pPr>
    <w:r>
      <w:rPr>
        <w:rFonts w:ascii="Corbel" w:hAnsi="Corbel" w:cs="Arial"/>
        <w:color w:val="365F91"/>
        <w:sz w:val="18"/>
      </w:rPr>
      <w:t xml:space="preserve">    </w:t>
    </w:r>
    <w:r w:rsidRPr="00340478">
      <w:rPr>
        <w:rFonts w:ascii="Corbel" w:hAnsi="Corbel" w:cs="Arial"/>
        <w:color w:val="365F91"/>
        <w:sz w:val="18"/>
      </w:rPr>
      <w:t xml:space="preserve">1501 M STREET, NW   </w:t>
    </w:r>
    <w:r w:rsidRPr="00340478">
      <w:rPr>
        <w:rFonts w:ascii="Corbel" w:hAnsi="Corbel" w:cs="Arial"/>
        <w:sz w:val="18"/>
      </w:rPr>
      <w:sym w:font="Wingdings" w:char="F06E"/>
    </w:r>
    <w:r w:rsidRPr="00340478">
      <w:rPr>
        <w:rFonts w:ascii="Corbel" w:hAnsi="Corbel" w:cs="Arial"/>
        <w:color w:val="365F91"/>
        <w:sz w:val="18"/>
      </w:rPr>
      <w:t xml:space="preserve">   SEVENTH FLOOR   </w:t>
    </w:r>
    <w:r w:rsidRPr="00340478">
      <w:rPr>
        <w:rFonts w:ascii="Corbel" w:hAnsi="Corbel" w:cs="Arial"/>
        <w:sz w:val="18"/>
      </w:rPr>
      <w:sym w:font="Wingdings" w:char="F06E"/>
    </w:r>
    <w:r w:rsidRPr="00340478">
      <w:rPr>
        <w:rFonts w:ascii="Corbel" w:hAnsi="Corbel" w:cs="Arial"/>
        <w:color w:val="365F91"/>
        <w:sz w:val="18"/>
      </w:rPr>
      <w:t xml:space="preserve">   WASHINGTON DC  20005   </w:t>
    </w:r>
    <w:r w:rsidRPr="00340478">
      <w:rPr>
        <w:rFonts w:ascii="Corbel" w:hAnsi="Corbel" w:cs="Arial"/>
        <w:sz w:val="18"/>
      </w:rPr>
      <w:sym w:font="Wingdings" w:char="F06E"/>
    </w:r>
    <w:r w:rsidRPr="00340478">
      <w:rPr>
        <w:rFonts w:ascii="Corbel" w:hAnsi="Corbel" w:cs="Arial"/>
        <w:color w:val="365F91"/>
        <w:sz w:val="18"/>
      </w:rPr>
      <w:t xml:space="preserve">   PH 202.466.6550 </w:t>
    </w:r>
    <w:r w:rsidRPr="00340478">
      <w:rPr>
        <w:rFonts w:ascii="Corbel" w:hAnsi="Corbel" w:cs="Arial"/>
        <w:sz w:val="18"/>
      </w:rPr>
      <w:sym w:font="Wingdings" w:char="F06E"/>
    </w:r>
    <w:r w:rsidRPr="00340478">
      <w:rPr>
        <w:rFonts w:ascii="Corbel" w:hAnsi="Corbel" w:cs="Arial"/>
        <w:color w:val="365F91"/>
        <w:sz w:val="18"/>
      </w:rPr>
      <w:t xml:space="preserve">   FX 202.785.1756    </w:t>
    </w:r>
    <w:r w:rsidRPr="00340478">
      <w:rPr>
        <w:rFonts w:ascii="Corbel" w:hAnsi="Corbel" w:cs="Arial"/>
        <w:sz w:val="18"/>
      </w:rPr>
      <w:sym w:font="Wingdings" w:char="F06E"/>
    </w:r>
    <w:r w:rsidRPr="00340478">
      <w:rPr>
        <w:rFonts w:ascii="Corbel" w:hAnsi="Corbel" w:cs="Arial"/>
        <w:color w:val="365F91"/>
        <w:sz w:val="18"/>
      </w:rPr>
      <w:t xml:space="preserve">   WWW.PPSV.COM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C4D" w:rsidRDefault="006B4C4D" w:rsidP="00F90E79">
      <w:pPr>
        <w:rPr>
          <w:noProof/>
        </w:rPr>
      </w:pPr>
      <w:r>
        <w:rPr>
          <w:noProof/>
        </w:rPr>
        <w:separator/>
      </w:r>
    </w:p>
  </w:footnote>
  <w:footnote w:type="continuationSeparator" w:id="0">
    <w:p w:rsidR="006B4C4D" w:rsidRDefault="006B4C4D" w:rsidP="00F90E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936" w:rsidRPr="00D604AE" w:rsidRDefault="00036936">
    <w:pPr>
      <w:pStyle w:val="Header"/>
      <w:rPr>
        <w:rFonts w:ascii="Calibri" w:hAnsi="Calibri" w:cs="Calibri"/>
        <w:sz w:val="26"/>
        <w:szCs w:val="26"/>
      </w:rPr>
    </w:pPr>
    <w:r>
      <w:rPr>
        <w:rFonts w:ascii="Calibri" w:hAnsi="Calibri" w:cs="Calibri"/>
        <w:noProof/>
        <w:sz w:val="26"/>
        <w:szCs w:val="26"/>
      </w:rPr>
      <w:drawing>
        <wp:anchor distT="0" distB="0" distL="114300" distR="114300" simplePos="0" relativeHeight="251660288" behindDoc="0" locked="0" layoutInCell="1" allowOverlap="1" wp14:anchorId="79C2A4C7" wp14:editId="3B385E07">
          <wp:simplePos x="0" y="0"/>
          <wp:positionH relativeFrom="column">
            <wp:posOffset>-416560</wp:posOffset>
          </wp:positionH>
          <wp:positionV relativeFrom="page">
            <wp:posOffset>354965</wp:posOffset>
          </wp:positionV>
          <wp:extent cx="1739900" cy="511810"/>
          <wp:effectExtent l="0" t="0" r="0" b="2540"/>
          <wp:wrapNone/>
          <wp:docPr id="20" name="Picture 20"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9900" cy="511810"/>
                  </a:xfrm>
                  <a:prstGeom prst="rect">
                    <a:avLst/>
                  </a:prstGeom>
                  <a:noFill/>
                  <a:ln>
                    <a:noFill/>
                  </a:ln>
                </pic:spPr>
              </pic:pic>
            </a:graphicData>
          </a:graphic>
        </wp:anchor>
      </w:drawing>
    </w:r>
  </w:p>
  <w:p w:rsidR="00036936" w:rsidRDefault="00036936" w:rsidP="008B4558">
    <w:pPr>
      <w:pStyle w:val="Header"/>
      <w:rPr>
        <w:rFonts w:ascii="Calibri" w:hAnsi="Calibri" w:cs="Calibri"/>
        <w:szCs w:val="24"/>
      </w:rPr>
    </w:pPr>
  </w:p>
  <w:p w:rsidR="00036936" w:rsidRPr="002F7B6C" w:rsidRDefault="00036936">
    <w:pPr>
      <w:pStyle w:val="Header"/>
      <w:rPr>
        <w:sz w:val="26"/>
        <w:szCs w:val="2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936" w:rsidRDefault="00036936" w:rsidP="008B4558">
    <w:pPr>
      <w:pStyle w:val="Header"/>
      <w:jc w:val="center"/>
    </w:pPr>
  </w:p>
  <w:p w:rsidR="00036936" w:rsidRDefault="00036936" w:rsidP="008B4558">
    <w:pPr>
      <w:pStyle w:val="Header"/>
      <w:jc w:val="center"/>
    </w:pPr>
  </w:p>
  <w:p w:rsidR="00036936" w:rsidRDefault="00036936" w:rsidP="008B4558">
    <w:pPr>
      <w:pStyle w:val="Header"/>
      <w:jc w:val="center"/>
    </w:pPr>
  </w:p>
  <w:p w:rsidR="00036936" w:rsidRDefault="00036936" w:rsidP="00680092">
    <w:pPr>
      <w:pStyle w:val="Header"/>
    </w:pPr>
  </w:p>
  <w:p w:rsidR="00036936" w:rsidRDefault="00036936" w:rsidP="00680092">
    <w:pPr>
      <w:pStyle w:val="Header"/>
    </w:pPr>
    <w:r>
      <w:rPr>
        <w:noProof/>
      </w:rPr>
      <w:drawing>
        <wp:anchor distT="0" distB="0" distL="114300" distR="114300" simplePos="0" relativeHeight="251659264" behindDoc="0" locked="0" layoutInCell="1" allowOverlap="1" wp14:anchorId="7C7C1692" wp14:editId="3F7ACBAF">
          <wp:simplePos x="0" y="0"/>
          <wp:positionH relativeFrom="column">
            <wp:posOffset>1927860</wp:posOffset>
          </wp:positionH>
          <wp:positionV relativeFrom="page">
            <wp:posOffset>457200</wp:posOffset>
          </wp:positionV>
          <wp:extent cx="2218690" cy="652145"/>
          <wp:effectExtent l="0" t="0" r="0" b="0"/>
          <wp:wrapNone/>
          <wp:docPr id="22" name="Picture 22"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65214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C29ED"/>
    <w:multiLevelType w:val="hybridMultilevel"/>
    <w:tmpl w:val="58DAF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311743"/>
    <w:multiLevelType w:val="hybridMultilevel"/>
    <w:tmpl w:val="E92CCE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5F3B49"/>
    <w:multiLevelType w:val="multilevel"/>
    <w:tmpl w:val="FDFA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597348"/>
    <w:multiLevelType w:val="hybridMultilevel"/>
    <w:tmpl w:val="E64C8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B35A7"/>
    <w:multiLevelType w:val="hybridMultilevel"/>
    <w:tmpl w:val="9A3C7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D364E6"/>
    <w:multiLevelType w:val="hybridMultilevel"/>
    <w:tmpl w:val="48EC1930"/>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F4D0C82"/>
    <w:multiLevelType w:val="hybridMultilevel"/>
    <w:tmpl w:val="202E0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5B6879"/>
    <w:multiLevelType w:val="hybridMultilevel"/>
    <w:tmpl w:val="009CE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3269FE"/>
    <w:multiLevelType w:val="multilevel"/>
    <w:tmpl w:val="1812C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223153"/>
    <w:multiLevelType w:val="hybridMultilevel"/>
    <w:tmpl w:val="036A6324"/>
    <w:lvl w:ilvl="0" w:tplc="D97CE84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9A00F46"/>
    <w:multiLevelType w:val="hybridMultilevel"/>
    <w:tmpl w:val="4704E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B70622"/>
    <w:multiLevelType w:val="hybridMultilevel"/>
    <w:tmpl w:val="F7949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4625DF"/>
    <w:multiLevelType w:val="hybridMultilevel"/>
    <w:tmpl w:val="0AB08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091C58"/>
    <w:multiLevelType w:val="hybridMultilevel"/>
    <w:tmpl w:val="0E94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411911"/>
    <w:multiLevelType w:val="hybridMultilevel"/>
    <w:tmpl w:val="34E0EB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7E17B2"/>
    <w:multiLevelType w:val="hybridMultilevel"/>
    <w:tmpl w:val="5F3C0F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7D862B6"/>
    <w:multiLevelType w:val="hybridMultilevel"/>
    <w:tmpl w:val="6CD4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4A5751"/>
    <w:multiLevelType w:val="hybridMultilevel"/>
    <w:tmpl w:val="2B9A3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1F3C2D"/>
    <w:multiLevelType w:val="hybridMultilevel"/>
    <w:tmpl w:val="BED68E2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4C0A6A1B"/>
    <w:multiLevelType w:val="hybridMultilevel"/>
    <w:tmpl w:val="750CD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B54B3C"/>
    <w:multiLevelType w:val="hybridMultilevel"/>
    <w:tmpl w:val="7E6676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BB5A2E"/>
    <w:multiLevelType w:val="hybridMultilevel"/>
    <w:tmpl w:val="AD705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5D4ED4"/>
    <w:multiLevelType w:val="hybridMultilevel"/>
    <w:tmpl w:val="C4465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003C7E"/>
    <w:multiLevelType w:val="hybridMultilevel"/>
    <w:tmpl w:val="E5D0E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807EA5"/>
    <w:multiLevelType w:val="hybridMultilevel"/>
    <w:tmpl w:val="A3AA2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BC178C"/>
    <w:multiLevelType w:val="hybridMultilevel"/>
    <w:tmpl w:val="F8D8FB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8222414"/>
    <w:multiLevelType w:val="hybridMultilevel"/>
    <w:tmpl w:val="BBAA1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8C38C7"/>
    <w:multiLevelType w:val="hybridMultilevel"/>
    <w:tmpl w:val="76FAC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BF6263"/>
    <w:multiLevelType w:val="hybridMultilevel"/>
    <w:tmpl w:val="368E3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BF247A"/>
    <w:multiLevelType w:val="hybridMultilevel"/>
    <w:tmpl w:val="2708E02C"/>
    <w:lvl w:ilvl="0" w:tplc="7358714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F02437"/>
    <w:multiLevelType w:val="multilevel"/>
    <w:tmpl w:val="FDFAF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1258AF"/>
    <w:multiLevelType w:val="hybridMultilevel"/>
    <w:tmpl w:val="F170F1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A8737C"/>
    <w:multiLevelType w:val="hybridMultilevel"/>
    <w:tmpl w:val="7D98C3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70427E1"/>
    <w:multiLevelType w:val="hybridMultilevel"/>
    <w:tmpl w:val="5E2A0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B1D4956"/>
    <w:multiLevelType w:val="hybridMultilevel"/>
    <w:tmpl w:val="5B06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662D2B"/>
    <w:multiLevelType w:val="hybridMultilevel"/>
    <w:tmpl w:val="2B3CE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29"/>
  </w:num>
  <w:num w:numId="3">
    <w:abstractNumId w:val="1"/>
  </w:num>
  <w:num w:numId="4">
    <w:abstractNumId w:val="9"/>
  </w:num>
  <w:num w:numId="5">
    <w:abstractNumId w:val="20"/>
  </w:num>
  <w:num w:numId="6">
    <w:abstractNumId w:val="13"/>
  </w:num>
  <w:num w:numId="7">
    <w:abstractNumId w:val="4"/>
  </w:num>
  <w:num w:numId="8">
    <w:abstractNumId w:val="17"/>
  </w:num>
  <w:num w:numId="9">
    <w:abstractNumId w:val="22"/>
  </w:num>
  <w:num w:numId="10">
    <w:abstractNumId w:val="28"/>
  </w:num>
  <w:num w:numId="11">
    <w:abstractNumId w:val="14"/>
  </w:num>
  <w:num w:numId="12">
    <w:abstractNumId w:val="18"/>
  </w:num>
  <w:num w:numId="13">
    <w:abstractNumId w:val="31"/>
  </w:num>
  <w:num w:numId="14">
    <w:abstractNumId w:val="3"/>
  </w:num>
  <w:num w:numId="15">
    <w:abstractNumId w:val="24"/>
  </w:num>
  <w:num w:numId="16">
    <w:abstractNumId w:val="5"/>
  </w:num>
  <w:num w:numId="17">
    <w:abstractNumId w:val="23"/>
  </w:num>
  <w:num w:numId="18">
    <w:abstractNumId w:val="21"/>
  </w:num>
  <w:num w:numId="19">
    <w:abstractNumId w:val="27"/>
  </w:num>
  <w:num w:numId="20">
    <w:abstractNumId w:val="26"/>
  </w:num>
  <w:num w:numId="21">
    <w:abstractNumId w:val="11"/>
  </w:num>
  <w:num w:numId="22">
    <w:abstractNumId w:val="6"/>
  </w:num>
  <w:num w:numId="23">
    <w:abstractNumId w:val="7"/>
  </w:num>
  <w:num w:numId="24">
    <w:abstractNumId w:val="0"/>
  </w:num>
  <w:num w:numId="25">
    <w:abstractNumId w:val="8"/>
  </w:num>
  <w:num w:numId="26">
    <w:abstractNumId w:val="33"/>
  </w:num>
  <w:num w:numId="27">
    <w:abstractNumId w:val="19"/>
  </w:num>
  <w:num w:numId="28">
    <w:abstractNumId w:val="25"/>
  </w:num>
  <w:num w:numId="29">
    <w:abstractNumId w:val="12"/>
  </w:num>
  <w:num w:numId="30">
    <w:abstractNumId w:val="30"/>
  </w:num>
  <w:num w:numId="31">
    <w:abstractNumId w:val="2"/>
  </w:num>
  <w:num w:numId="32">
    <w:abstractNumId w:val="34"/>
  </w:num>
  <w:num w:numId="33">
    <w:abstractNumId w:val="16"/>
  </w:num>
  <w:num w:numId="34">
    <w:abstractNumId w:val="10"/>
  </w:num>
  <w:num w:numId="35">
    <w:abstractNumId w:val="32"/>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4AA"/>
    <w:rsid w:val="00000D9F"/>
    <w:rsid w:val="0002047A"/>
    <w:rsid w:val="000341FC"/>
    <w:rsid w:val="0003517F"/>
    <w:rsid w:val="00036936"/>
    <w:rsid w:val="00045734"/>
    <w:rsid w:val="000476E1"/>
    <w:rsid w:val="000564DB"/>
    <w:rsid w:val="00056951"/>
    <w:rsid w:val="00057420"/>
    <w:rsid w:val="00065046"/>
    <w:rsid w:val="000660C2"/>
    <w:rsid w:val="00080050"/>
    <w:rsid w:val="0008577D"/>
    <w:rsid w:val="000B6EB1"/>
    <w:rsid w:val="000B718E"/>
    <w:rsid w:val="000C089E"/>
    <w:rsid w:val="000C1935"/>
    <w:rsid w:val="000C2E6C"/>
    <w:rsid w:val="000C35A3"/>
    <w:rsid w:val="000C4A1A"/>
    <w:rsid w:val="000D3B16"/>
    <w:rsid w:val="000D55E0"/>
    <w:rsid w:val="000F00B3"/>
    <w:rsid w:val="000F0618"/>
    <w:rsid w:val="000F5FA7"/>
    <w:rsid w:val="00106186"/>
    <w:rsid w:val="001107A0"/>
    <w:rsid w:val="00111BD8"/>
    <w:rsid w:val="00120FA9"/>
    <w:rsid w:val="001212BE"/>
    <w:rsid w:val="00130794"/>
    <w:rsid w:val="00145995"/>
    <w:rsid w:val="00146791"/>
    <w:rsid w:val="00153A05"/>
    <w:rsid w:val="00153A56"/>
    <w:rsid w:val="00162777"/>
    <w:rsid w:val="00162F03"/>
    <w:rsid w:val="00166D83"/>
    <w:rsid w:val="0017127E"/>
    <w:rsid w:val="00182A4B"/>
    <w:rsid w:val="00191436"/>
    <w:rsid w:val="00192853"/>
    <w:rsid w:val="001934E6"/>
    <w:rsid w:val="001A0151"/>
    <w:rsid w:val="001A6A5D"/>
    <w:rsid w:val="001B3052"/>
    <w:rsid w:val="001B366D"/>
    <w:rsid w:val="001B5990"/>
    <w:rsid w:val="001B69D7"/>
    <w:rsid w:val="001E5B65"/>
    <w:rsid w:val="001E5BD4"/>
    <w:rsid w:val="001F150B"/>
    <w:rsid w:val="001F166A"/>
    <w:rsid w:val="001F2AF0"/>
    <w:rsid w:val="001F621C"/>
    <w:rsid w:val="001F636F"/>
    <w:rsid w:val="0020279B"/>
    <w:rsid w:val="00212BB4"/>
    <w:rsid w:val="00216F66"/>
    <w:rsid w:val="00220BD3"/>
    <w:rsid w:val="002219BD"/>
    <w:rsid w:val="00221A82"/>
    <w:rsid w:val="0022283F"/>
    <w:rsid w:val="0022563C"/>
    <w:rsid w:val="002272F3"/>
    <w:rsid w:val="002373F0"/>
    <w:rsid w:val="00243F9B"/>
    <w:rsid w:val="00250D14"/>
    <w:rsid w:val="002521F9"/>
    <w:rsid w:val="00254EE7"/>
    <w:rsid w:val="00261369"/>
    <w:rsid w:val="00261960"/>
    <w:rsid w:val="00273AA0"/>
    <w:rsid w:val="00275B3F"/>
    <w:rsid w:val="00275C96"/>
    <w:rsid w:val="002846D9"/>
    <w:rsid w:val="002862E9"/>
    <w:rsid w:val="00290311"/>
    <w:rsid w:val="00290395"/>
    <w:rsid w:val="00293F55"/>
    <w:rsid w:val="002A001F"/>
    <w:rsid w:val="002A01E9"/>
    <w:rsid w:val="002A1F37"/>
    <w:rsid w:val="002A4493"/>
    <w:rsid w:val="002B0AAE"/>
    <w:rsid w:val="002B6988"/>
    <w:rsid w:val="002B6ABD"/>
    <w:rsid w:val="002C6F63"/>
    <w:rsid w:val="002D750B"/>
    <w:rsid w:val="002E1D2C"/>
    <w:rsid w:val="002F0522"/>
    <w:rsid w:val="002F481A"/>
    <w:rsid w:val="002F58CC"/>
    <w:rsid w:val="0030422A"/>
    <w:rsid w:val="003107C4"/>
    <w:rsid w:val="003221D7"/>
    <w:rsid w:val="00324BF3"/>
    <w:rsid w:val="00326E6E"/>
    <w:rsid w:val="00327B26"/>
    <w:rsid w:val="00332557"/>
    <w:rsid w:val="00335CCD"/>
    <w:rsid w:val="0033716B"/>
    <w:rsid w:val="00340478"/>
    <w:rsid w:val="00341AE7"/>
    <w:rsid w:val="00343F53"/>
    <w:rsid w:val="00346E47"/>
    <w:rsid w:val="003507D2"/>
    <w:rsid w:val="0035761D"/>
    <w:rsid w:val="0036033F"/>
    <w:rsid w:val="003765CF"/>
    <w:rsid w:val="00384DB5"/>
    <w:rsid w:val="00387492"/>
    <w:rsid w:val="00391680"/>
    <w:rsid w:val="00397259"/>
    <w:rsid w:val="003A267D"/>
    <w:rsid w:val="003B78F2"/>
    <w:rsid w:val="003C1311"/>
    <w:rsid w:val="003C23B7"/>
    <w:rsid w:val="003C65BF"/>
    <w:rsid w:val="003D0819"/>
    <w:rsid w:val="003D0988"/>
    <w:rsid w:val="003D1722"/>
    <w:rsid w:val="003D1C0D"/>
    <w:rsid w:val="003E103E"/>
    <w:rsid w:val="003E3495"/>
    <w:rsid w:val="003E3A9B"/>
    <w:rsid w:val="003E6D06"/>
    <w:rsid w:val="003E6F97"/>
    <w:rsid w:val="003F00A9"/>
    <w:rsid w:val="003F053A"/>
    <w:rsid w:val="003F3909"/>
    <w:rsid w:val="003F5DFD"/>
    <w:rsid w:val="003F6720"/>
    <w:rsid w:val="004034FD"/>
    <w:rsid w:val="00403A0A"/>
    <w:rsid w:val="00405CE0"/>
    <w:rsid w:val="00415358"/>
    <w:rsid w:val="00422557"/>
    <w:rsid w:val="004238AE"/>
    <w:rsid w:val="00426316"/>
    <w:rsid w:val="00430931"/>
    <w:rsid w:val="004309A1"/>
    <w:rsid w:val="00454F8B"/>
    <w:rsid w:val="00455C32"/>
    <w:rsid w:val="004666E9"/>
    <w:rsid w:val="00467E46"/>
    <w:rsid w:val="004700B1"/>
    <w:rsid w:val="00473717"/>
    <w:rsid w:val="0047432A"/>
    <w:rsid w:val="00474CCE"/>
    <w:rsid w:val="00475CEA"/>
    <w:rsid w:val="004867F8"/>
    <w:rsid w:val="00487105"/>
    <w:rsid w:val="00491874"/>
    <w:rsid w:val="004942BA"/>
    <w:rsid w:val="004974CD"/>
    <w:rsid w:val="004A2AEF"/>
    <w:rsid w:val="004A5E29"/>
    <w:rsid w:val="004A61A2"/>
    <w:rsid w:val="004B07E0"/>
    <w:rsid w:val="004B58DC"/>
    <w:rsid w:val="004C44AC"/>
    <w:rsid w:val="004D75EA"/>
    <w:rsid w:val="004E2F5D"/>
    <w:rsid w:val="004E3643"/>
    <w:rsid w:val="004E3A58"/>
    <w:rsid w:val="004F5751"/>
    <w:rsid w:val="004F5848"/>
    <w:rsid w:val="00512F61"/>
    <w:rsid w:val="005164AF"/>
    <w:rsid w:val="00526324"/>
    <w:rsid w:val="00536AC5"/>
    <w:rsid w:val="0054057D"/>
    <w:rsid w:val="005405E3"/>
    <w:rsid w:val="00544309"/>
    <w:rsid w:val="005446DB"/>
    <w:rsid w:val="005457A2"/>
    <w:rsid w:val="0054650E"/>
    <w:rsid w:val="00551AE5"/>
    <w:rsid w:val="00555173"/>
    <w:rsid w:val="005613BA"/>
    <w:rsid w:val="00561730"/>
    <w:rsid w:val="00561ACF"/>
    <w:rsid w:val="005665F6"/>
    <w:rsid w:val="005838B7"/>
    <w:rsid w:val="00585835"/>
    <w:rsid w:val="00592FBA"/>
    <w:rsid w:val="005A0E86"/>
    <w:rsid w:val="005B0FAA"/>
    <w:rsid w:val="005B116F"/>
    <w:rsid w:val="005B3586"/>
    <w:rsid w:val="005B6A2D"/>
    <w:rsid w:val="005C008C"/>
    <w:rsid w:val="005C0B06"/>
    <w:rsid w:val="005D50A6"/>
    <w:rsid w:val="005E4AFD"/>
    <w:rsid w:val="005E5FA8"/>
    <w:rsid w:val="005E615F"/>
    <w:rsid w:val="005F4513"/>
    <w:rsid w:val="00600D35"/>
    <w:rsid w:val="00602D66"/>
    <w:rsid w:val="00604A42"/>
    <w:rsid w:val="0060696B"/>
    <w:rsid w:val="00606E1C"/>
    <w:rsid w:val="00610025"/>
    <w:rsid w:val="00613AF9"/>
    <w:rsid w:val="0061697C"/>
    <w:rsid w:val="00620B23"/>
    <w:rsid w:val="00627312"/>
    <w:rsid w:val="006276D4"/>
    <w:rsid w:val="00632B9C"/>
    <w:rsid w:val="00651EE5"/>
    <w:rsid w:val="006531CC"/>
    <w:rsid w:val="006547F1"/>
    <w:rsid w:val="00660FC3"/>
    <w:rsid w:val="006635F1"/>
    <w:rsid w:val="00665DBA"/>
    <w:rsid w:val="00667456"/>
    <w:rsid w:val="00680092"/>
    <w:rsid w:val="00680AA8"/>
    <w:rsid w:val="006849BF"/>
    <w:rsid w:val="00693A05"/>
    <w:rsid w:val="006A1702"/>
    <w:rsid w:val="006A40B5"/>
    <w:rsid w:val="006B4C4D"/>
    <w:rsid w:val="006C5081"/>
    <w:rsid w:val="006D19B8"/>
    <w:rsid w:val="006D472D"/>
    <w:rsid w:val="006D57E4"/>
    <w:rsid w:val="006D59AD"/>
    <w:rsid w:val="006F2706"/>
    <w:rsid w:val="00703E2B"/>
    <w:rsid w:val="00704A74"/>
    <w:rsid w:val="00712150"/>
    <w:rsid w:val="007127FE"/>
    <w:rsid w:val="00727909"/>
    <w:rsid w:val="00737BBD"/>
    <w:rsid w:val="00742A95"/>
    <w:rsid w:val="00745179"/>
    <w:rsid w:val="00746991"/>
    <w:rsid w:val="0075085A"/>
    <w:rsid w:val="00750B91"/>
    <w:rsid w:val="00762D8A"/>
    <w:rsid w:val="00771068"/>
    <w:rsid w:val="00772F03"/>
    <w:rsid w:val="00781EE7"/>
    <w:rsid w:val="00786321"/>
    <w:rsid w:val="00791009"/>
    <w:rsid w:val="00795B14"/>
    <w:rsid w:val="007A14E0"/>
    <w:rsid w:val="007B00A8"/>
    <w:rsid w:val="007B0940"/>
    <w:rsid w:val="007B728F"/>
    <w:rsid w:val="007D20BD"/>
    <w:rsid w:val="007E25C8"/>
    <w:rsid w:val="007E319A"/>
    <w:rsid w:val="007E5993"/>
    <w:rsid w:val="007F3BCF"/>
    <w:rsid w:val="00800652"/>
    <w:rsid w:val="008006F9"/>
    <w:rsid w:val="00800749"/>
    <w:rsid w:val="00806F14"/>
    <w:rsid w:val="00806F68"/>
    <w:rsid w:val="00812300"/>
    <w:rsid w:val="00814ACE"/>
    <w:rsid w:val="0082559E"/>
    <w:rsid w:val="008262B0"/>
    <w:rsid w:val="0082688E"/>
    <w:rsid w:val="008302D1"/>
    <w:rsid w:val="00832ECE"/>
    <w:rsid w:val="008335F6"/>
    <w:rsid w:val="00840FD7"/>
    <w:rsid w:val="0085368F"/>
    <w:rsid w:val="00854E02"/>
    <w:rsid w:val="00856D53"/>
    <w:rsid w:val="008602DC"/>
    <w:rsid w:val="008611BC"/>
    <w:rsid w:val="0087486E"/>
    <w:rsid w:val="00880CE1"/>
    <w:rsid w:val="00880F74"/>
    <w:rsid w:val="0089034A"/>
    <w:rsid w:val="0089037B"/>
    <w:rsid w:val="008A1418"/>
    <w:rsid w:val="008A2121"/>
    <w:rsid w:val="008A61FC"/>
    <w:rsid w:val="008B08BC"/>
    <w:rsid w:val="008B0F7E"/>
    <w:rsid w:val="008B32A8"/>
    <w:rsid w:val="008B4558"/>
    <w:rsid w:val="008D5AA3"/>
    <w:rsid w:val="008D5ED1"/>
    <w:rsid w:val="008E0387"/>
    <w:rsid w:val="008E205A"/>
    <w:rsid w:val="008E74FA"/>
    <w:rsid w:val="008F0163"/>
    <w:rsid w:val="008F42F8"/>
    <w:rsid w:val="00907EE2"/>
    <w:rsid w:val="00912788"/>
    <w:rsid w:val="00912E40"/>
    <w:rsid w:val="009207A1"/>
    <w:rsid w:val="00930387"/>
    <w:rsid w:val="00947878"/>
    <w:rsid w:val="009525ED"/>
    <w:rsid w:val="00954E47"/>
    <w:rsid w:val="00957A0A"/>
    <w:rsid w:val="00966C22"/>
    <w:rsid w:val="009670FB"/>
    <w:rsid w:val="00971557"/>
    <w:rsid w:val="009825E3"/>
    <w:rsid w:val="009832C6"/>
    <w:rsid w:val="00984DF0"/>
    <w:rsid w:val="00993303"/>
    <w:rsid w:val="00994981"/>
    <w:rsid w:val="009A1BAA"/>
    <w:rsid w:val="009A5E8C"/>
    <w:rsid w:val="009B01D4"/>
    <w:rsid w:val="009B3487"/>
    <w:rsid w:val="009B7F9F"/>
    <w:rsid w:val="009D0F80"/>
    <w:rsid w:val="009E1B6A"/>
    <w:rsid w:val="009E3411"/>
    <w:rsid w:val="009E415B"/>
    <w:rsid w:val="009E71A3"/>
    <w:rsid w:val="009F0577"/>
    <w:rsid w:val="00A04F48"/>
    <w:rsid w:val="00A07F2B"/>
    <w:rsid w:val="00A13B37"/>
    <w:rsid w:val="00A25681"/>
    <w:rsid w:val="00A25D5E"/>
    <w:rsid w:val="00A318E0"/>
    <w:rsid w:val="00A35C44"/>
    <w:rsid w:val="00A35D7C"/>
    <w:rsid w:val="00A66412"/>
    <w:rsid w:val="00A66C37"/>
    <w:rsid w:val="00A678E0"/>
    <w:rsid w:val="00A71DA5"/>
    <w:rsid w:val="00A81094"/>
    <w:rsid w:val="00A82844"/>
    <w:rsid w:val="00A85CE1"/>
    <w:rsid w:val="00A879CF"/>
    <w:rsid w:val="00A90F5E"/>
    <w:rsid w:val="00AA104F"/>
    <w:rsid w:val="00AA3747"/>
    <w:rsid w:val="00AB19F1"/>
    <w:rsid w:val="00AB22EE"/>
    <w:rsid w:val="00AB5390"/>
    <w:rsid w:val="00AC6E2B"/>
    <w:rsid w:val="00AD1E0C"/>
    <w:rsid w:val="00AD77E6"/>
    <w:rsid w:val="00AE1E76"/>
    <w:rsid w:val="00AE1F18"/>
    <w:rsid w:val="00AF0DD1"/>
    <w:rsid w:val="00AF43FE"/>
    <w:rsid w:val="00AF7AEA"/>
    <w:rsid w:val="00B019D5"/>
    <w:rsid w:val="00B024C0"/>
    <w:rsid w:val="00B14577"/>
    <w:rsid w:val="00B22D84"/>
    <w:rsid w:val="00B24781"/>
    <w:rsid w:val="00B36B1E"/>
    <w:rsid w:val="00B42A92"/>
    <w:rsid w:val="00B4335B"/>
    <w:rsid w:val="00B440BB"/>
    <w:rsid w:val="00B45D8D"/>
    <w:rsid w:val="00B476E8"/>
    <w:rsid w:val="00B60A0A"/>
    <w:rsid w:val="00B60BE0"/>
    <w:rsid w:val="00B67428"/>
    <w:rsid w:val="00B71759"/>
    <w:rsid w:val="00B73F9B"/>
    <w:rsid w:val="00B84CE6"/>
    <w:rsid w:val="00B9030E"/>
    <w:rsid w:val="00B96692"/>
    <w:rsid w:val="00BA1C7E"/>
    <w:rsid w:val="00BA4218"/>
    <w:rsid w:val="00BA4552"/>
    <w:rsid w:val="00BB5E91"/>
    <w:rsid w:val="00BB6ED3"/>
    <w:rsid w:val="00BC4CA1"/>
    <w:rsid w:val="00BD207A"/>
    <w:rsid w:val="00BD6CBA"/>
    <w:rsid w:val="00BE2FB1"/>
    <w:rsid w:val="00BE653E"/>
    <w:rsid w:val="00C14090"/>
    <w:rsid w:val="00C1494A"/>
    <w:rsid w:val="00C14CDB"/>
    <w:rsid w:val="00C205A8"/>
    <w:rsid w:val="00C23469"/>
    <w:rsid w:val="00C31BB6"/>
    <w:rsid w:val="00C35FF8"/>
    <w:rsid w:val="00C36ED6"/>
    <w:rsid w:val="00C37EE0"/>
    <w:rsid w:val="00C41638"/>
    <w:rsid w:val="00C445ED"/>
    <w:rsid w:val="00C56206"/>
    <w:rsid w:val="00C63634"/>
    <w:rsid w:val="00C72921"/>
    <w:rsid w:val="00C74070"/>
    <w:rsid w:val="00C7535F"/>
    <w:rsid w:val="00C77148"/>
    <w:rsid w:val="00C81278"/>
    <w:rsid w:val="00C83DF3"/>
    <w:rsid w:val="00C878EC"/>
    <w:rsid w:val="00C92F3D"/>
    <w:rsid w:val="00CA4184"/>
    <w:rsid w:val="00CA4861"/>
    <w:rsid w:val="00CA4A00"/>
    <w:rsid w:val="00CA5DEA"/>
    <w:rsid w:val="00CB2CEF"/>
    <w:rsid w:val="00CB2E65"/>
    <w:rsid w:val="00CB3EB2"/>
    <w:rsid w:val="00CB593C"/>
    <w:rsid w:val="00CB6212"/>
    <w:rsid w:val="00CC0271"/>
    <w:rsid w:val="00CC612B"/>
    <w:rsid w:val="00CD1CBD"/>
    <w:rsid w:val="00CD3A09"/>
    <w:rsid w:val="00CE2D64"/>
    <w:rsid w:val="00CE5840"/>
    <w:rsid w:val="00CE6FDE"/>
    <w:rsid w:val="00CF46EB"/>
    <w:rsid w:val="00D05EFE"/>
    <w:rsid w:val="00D140D9"/>
    <w:rsid w:val="00D210B8"/>
    <w:rsid w:val="00D27223"/>
    <w:rsid w:val="00D3438A"/>
    <w:rsid w:val="00D35018"/>
    <w:rsid w:val="00D36729"/>
    <w:rsid w:val="00D369A0"/>
    <w:rsid w:val="00D407B4"/>
    <w:rsid w:val="00D42DC4"/>
    <w:rsid w:val="00D47930"/>
    <w:rsid w:val="00D55C15"/>
    <w:rsid w:val="00D704B8"/>
    <w:rsid w:val="00D71552"/>
    <w:rsid w:val="00D754AA"/>
    <w:rsid w:val="00D804E3"/>
    <w:rsid w:val="00D81F6C"/>
    <w:rsid w:val="00D8547D"/>
    <w:rsid w:val="00D87012"/>
    <w:rsid w:val="00D910CF"/>
    <w:rsid w:val="00D97308"/>
    <w:rsid w:val="00DA0830"/>
    <w:rsid w:val="00DC7F27"/>
    <w:rsid w:val="00DE76E6"/>
    <w:rsid w:val="00DF5F46"/>
    <w:rsid w:val="00E050A5"/>
    <w:rsid w:val="00E12BD4"/>
    <w:rsid w:val="00E14788"/>
    <w:rsid w:val="00E22E43"/>
    <w:rsid w:val="00E23B09"/>
    <w:rsid w:val="00E30BA2"/>
    <w:rsid w:val="00E33E50"/>
    <w:rsid w:val="00E43029"/>
    <w:rsid w:val="00E55F59"/>
    <w:rsid w:val="00E60932"/>
    <w:rsid w:val="00E72933"/>
    <w:rsid w:val="00E731E9"/>
    <w:rsid w:val="00E77F07"/>
    <w:rsid w:val="00E903CF"/>
    <w:rsid w:val="00E91AC4"/>
    <w:rsid w:val="00E95891"/>
    <w:rsid w:val="00EA0ABF"/>
    <w:rsid w:val="00EA4F06"/>
    <w:rsid w:val="00EA6E68"/>
    <w:rsid w:val="00EA7D14"/>
    <w:rsid w:val="00EC0FB1"/>
    <w:rsid w:val="00EC4C77"/>
    <w:rsid w:val="00EC54B9"/>
    <w:rsid w:val="00EE0E69"/>
    <w:rsid w:val="00EE3D4E"/>
    <w:rsid w:val="00EF3725"/>
    <w:rsid w:val="00EF4473"/>
    <w:rsid w:val="00EF7E84"/>
    <w:rsid w:val="00F01B56"/>
    <w:rsid w:val="00F07F5E"/>
    <w:rsid w:val="00F10FD3"/>
    <w:rsid w:val="00F11F99"/>
    <w:rsid w:val="00F15291"/>
    <w:rsid w:val="00F2789D"/>
    <w:rsid w:val="00F3226D"/>
    <w:rsid w:val="00F36FC7"/>
    <w:rsid w:val="00F4052E"/>
    <w:rsid w:val="00F54F44"/>
    <w:rsid w:val="00F659FB"/>
    <w:rsid w:val="00F65DB7"/>
    <w:rsid w:val="00F6600F"/>
    <w:rsid w:val="00F75B56"/>
    <w:rsid w:val="00F81D27"/>
    <w:rsid w:val="00F82738"/>
    <w:rsid w:val="00F83CE4"/>
    <w:rsid w:val="00F85ABC"/>
    <w:rsid w:val="00F87860"/>
    <w:rsid w:val="00F90E79"/>
    <w:rsid w:val="00F91863"/>
    <w:rsid w:val="00F94017"/>
    <w:rsid w:val="00FA080D"/>
    <w:rsid w:val="00FA3FC8"/>
    <w:rsid w:val="00FA416C"/>
    <w:rsid w:val="00FA4CC5"/>
    <w:rsid w:val="00FA4D71"/>
    <w:rsid w:val="00FA4D92"/>
    <w:rsid w:val="00FA4F34"/>
    <w:rsid w:val="00FA608F"/>
    <w:rsid w:val="00FB0FEF"/>
    <w:rsid w:val="00FB316C"/>
    <w:rsid w:val="00FB3AC8"/>
    <w:rsid w:val="00FB4B3F"/>
    <w:rsid w:val="00FC0B09"/>
    <w:rsid w:val="00FC10DC"/>
    <w:rsid w:val="00FC5DF9"/>
    <w:rsid w:val="00FD0958"/>
    <w:rsid w:val="00FD71F1"/>
    <w:rsid w:val="00FE56BA"/>
    <w:rsid w:val="00FE7A31"/>
    <w:rsid w:val="00FF1326"/>
    <w:rsid w:val="00FF38B9"/>
    <w:rsid w:val="00FF59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FA05486-27B3-4501-8E30-2439D145B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54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54AA"/>
    <w:pPr>
      <w:tabs>
        <w:tab w:val="center" w:pos="4680"/>
        <w:tab w:val="right" w:pos="9360"/>
      </w:tabs>
    </w:pPr>
  </w:style>
  <w:style w:type="character" w:customStyle="1" w:styleId="HeaderChar">
    <w:name w:val="Header Char"/>
    <w:basedOn w:val="DefaultParagraphFont"/>
    <w:link w:val="Header"/>
    <w:uiPriority w:val="99"/>
    <w:rsid w:val="00D754AA"/>
  </w:style>
  <w:style w:type="paragraph" w:styleId="Footer">
    <w:name w:val="footer"/>
    <w:basedOn w:val="Normal"/>
    <w:link w:val="FooterChar"/>
    <w:uiPriority w:val="99"/>
    <w:unhideWhenUsed/>
    <w:rsid w:val="00D754AA"/>
    <w:pPr>
      <w:tabs>
        <w:tab w:val="center" w:pos="4680"/>
        <w:tab w:val="right" w:pos="9360"/>
      </w:tabs>
    </w:pPr>
  </w:style>
  <w:style w:type="character" w:customStyle="1" w:styleId="FooterChar">
    <w:name w:val="Footer Char"/>
    <w:basedOn w:val="DefaultParagraphFont"/>
    <w:link w:val="Footer"/>
    <w:uiPriority w:val="99"/>
    <w:rsid w:val="00D754AA"/>
  </w:style>
  <w:style w:type="character" w:styleId="Hyperlink">
    <w:name w:val="Hyperlink"/>
    <w:basedOn w:val="DefaultParagraphFont"/>
    <w:uiPriority w:val="99"/>
    <w:unhideWhenUsed/>
    <w:rsid w:val="00D754AA"/>
    <w:rPr>
      <w:color w:val="0000FF"/>
      <w:u w:val="single"/>
    </w:rPr>
  </w:style>
  <w:style w:type="paragraph" w:styleId="ListParagraph">
    <w:name w:val="List Paragraph"/>
    <w:basedOn w:val="Normal"/>
    <w:uiPriority w:val="34"/>
    <w:qFormat/>
    <w:rsid w:val="00D754AA"/>
    <w:pPr>
      <w:ind w:left="720"/>
      <w:contextualSpacing/>
    </w:pPr>
    <w:rPr>
      <w:rFonts w:eastAsia="Calibri" w:cs="Times New Roman"/>
    </w:rPr>
  </w:style>
  <w:style w:type="paragraph" w:styleId="BalloonText">
    <w:name w:val="Balloon Text"/>
    <w:basedOn w:val="Normal"/>
    <w:link w:val="BalloonTextChar"/>
    <w:uiPriority w:val="99"/>
    <w:semiHidden/>
    <w:unhideWhenUsed/>
    <w:rsid w:val="00D754AA"/>
    <w:rPr>
      <w:rFonts w:ascii="Tahoma" w:hAnsi="Tahoma" w:cs="Tahoma"/>
      <w:sz w:val="16"/>
      <w:szCs w:val="16"/>
    </w:rPr>
  </w:style>
  <w:style w:type="character" w:customStyle="1" w:styleId="BalloonTextChar">
    <w:name w:val="Balloon Text Char"/>
    <w:basedOn w:val="DefaultParagraphFont"/>
    <w:link w:val="BalloonText"/>
    <w:uiPriority w:val="99"/>
    <w:semiHidden/>
    <w:rsid w:val="00D754AA"/>
    <w:rPr>
      <w:rFonts w:ascii="Tahoma" w:hAnsi="Tahoma" w:cs="Tahoma"/>
      <w:sz w:val="16"/>
      <w:szCs w:val="16"/>
    </w:rPr>
  </w:style>
  <w:style w:type="character" w:styleId="FollowedHyperlink">
    <w:name w:val="FollowedHyperlink"/>
    <w:basedOn w:val="DefaultParagraphFont"/>
    <w:uiPriority w:val="99"/>
    <w:semiHidden/>
    <w:unhideWhenUsed/>
    <w:rsid w:val="003F3909"/>
    <w:rPr>
      <w:color w:val="800080" w:themeColor="followedHyperlink"/>
      <w:u w:val="single"/>
    </w:rPr>
  </w:style>
  <w:style w:type="character" w:styleId="CommentReference">
    <w:name w:val="annotation reference"/>
    <w:basedOn w:val="DefaultParagraphFont"/>
    <w:uiPriority w:val="99"/>
    <w:semiHidden/>
    <w:unhideWhenUsed/>
    <w:rsid w:val="00A66C37"/>
    <w:rPr>
      <w:sz w:val="16"/>
      <w:szCs w:val="16"/>
    </w:rPr>
  </w:style>
  <w:style w:type="paragraph" w:styleId="CommentText">
    <w:name w:val="annotation text"/>
    <w:basedOn w:val="Normal"/>
    <w:link w:val="CommentTextChar"/>
    <w:uiPriority w:val="99"/>
    <w:semiHidden/>
    <w:unhideWhenUsed/>
    <w:rsid w:val="00A66C37"/>
    <w:rPr>
      <w:rFonts w:asciiTheme="minorHAnsi" w:eastAsiaTheme="minorEastAsia" w:hAnsiTheme="minorHAnsi"/>
      <w:sz w:val="20"/>
      <w:szCs w:val="20"/>
    </w:rPr>
  </w:style>
  <w:style w:type="character" w:customStyle="1" w:styleId="CommentTextChar">
    <w:name w:val="Comment Text Char"/>
    <w:basedOn w:val="DefaultParagraphFont"/>
    <w:link w:val="CommentText"/>
    <w:uiPriority w:val="99"/>
    <w:semiHidden/>
    <w:rsid w:val="00A66C37"/>
    <w:rPr>
      <w:rFonts w:asciiTheme="minorHAnsi" w:eastAsiaTheme="minorEastAsia" w:hAnsiTheme="minorHAnsi"/>
      <w:sz w:val="20"/>
      <w:szCs w:val="20"/>
    </w:rPr>
  </w:style>
  <w:style w:type="paragraph" w:styleId="FootnoteText">
    <w:name w:val="footnote text"/>
    <w:basedOn w:val="Normal"/>
    <w:link w:val="FootnoteTextChar"/>
    <w:uiPriority w:val="99"/>
    <w:unhideWhenUsed/>
    <w:rsid w:val="004867F8"/>
    <w:rPr>
      <w:szCs w:val="24"/>
    </w:rPr>
  </w:style>
  <w:style w:type="character" w:customStyle="1" w:styleId="FootnoteTextChar">
    <w:name w:val="Footnote Text Char"/>
    <w:basedOn w:val="DefaultParagraphFont"/>
    <w:link w:val="FootnoteText"/>
    <w:uiPriority w:val="99"/>
    <w:rsid w:val="004867F8"/>
    <w:rPr>
      <w:szCs w:val="24"/>
    </w:rPr>
  </w:style>
  <w:style w:type="character" w:styleId="FootnoteReference">
    <w:name w:val="footnote reference"/>
    <w:basedOn w:val="DefaultParagraphFont"/>
    <w:uiPriority w:val="99"/>
    <w:unhideWhenUsed/>
    <w:rsid w:val="004867F8"/>
    <w:rPr>
      <w:vertAlign w:val="superscript"/>
    </w:rPr>
  </w:style>
  <w:style w:type="paragraph" w:styleId="NormalWeb">
    <w:name w:val="Normal (Web)"/>
    <w:basedOn w:val="Normal"/>
    <w:uiPriority w:val="99"/>
    <w:unhideWhenUsed/>
    <w:rsid w:val="008006F9"/>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182A4B"/>
    <w:rPr>
      <w:b/>
      <w:bCs/>
    </w:rPr>
  </w:style>
  <w:style w:type="character" w:styleId="Emphasis">
    <w:name w:val="Emphasis"/>
    <w:basedOn w:val="DefaultParagraphFont"/>
    <w:uiPriority w:val="20"/>
    <w:qFormat/>
    <w:rsid w:val="00182A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460941">
      <w:bodyDiv w:val="1"/>
      <w:marLeft w:val="0"/>
      <w:marRight w:val="0"/>
      <w:marTop w:val="0"/>
      <w:marBottom w:val="0"/>
      <w:divBdr>
        <w:top w:val="none" w:sz="0" w:space="0" w:color="auto"/>
        <w:left w:val="none" w:sz="0" w:space="0" w:color="auto"/>
        <w:bottom w:val="none" w:sz="0" w:space="0" w:color="auto"/>
        <w:right w:val="none" w:sz="0" w:space="0" w:color="auto"/>
      </w:divBdr>
      <w:divsChild>
        <w:div w:id="131408866">
          <w:marLeft w:val="0"/>
          <w:marRight w:val="0"/>
          <w:marTop w:val="0"/>
          <w:marBottom w:val="0"/>
          <w:divBdr>
            <w:top w:val="none" w:sz="0" w:space="0" w:color="auto"/>
            <w:left w:val="none" w:sz="0" w:space="0" w:color="auto"/>
            <w:bottom w:val="none" w:sz="0" w:space="0" w:color="auto"/>
            <w:right w:val="none" w:sz="0" w:space="0" w:color="auto"/>
          </w:divBdr>
        </w:div>
        <w:div w:id="666253293">
          <w:marLeft w:val="0"/>
          <w:marRight w:val="0"/>
          <w:marTop w:val="0"/>
          <w:marBottom w:val="0"/>
          <w:divBdr>
            <w:top w:val="none" w:sz="0" w:space="0" w:color="auto"/>
            <w:left w:val="none" w:sz="0" w:space="0" w:color="auto"/>
            <w:bottom w:val="none" w:sz="0" w:space="0" w:color="auto"/>
            <w:right w:val="none" w:sz="0" w:space="0" w:color="auto"/>
          </w:divBdr>
        </w:div>
        <w:div w:id="371153140">
          <w:marLeft w:val="0"/>
          <w:marRight w:val="0"/>
          <w:marTop w:val="0"/>
          <w:marBottom w:val="0"/>
          <w:divBdr>
            <w:top w:val="none" w:sz="0" w:space="0" w:color="auto"/>
            <w:left w:val="none" w:sz="0" w:space="0" w:color="auto"/>
            <w:bottom w:val="none" w:sz="0" w:space="0" w:color="auto"/>
            <w:right w:val="none" w:sz="0" w:space="0" w:color="auto"/>
          </w:divBdr>
        </w:div>
        <w:div w:id="624847346">
          <w:marLeft w:val="0"/>
          <w:marRight w:val="0"/>
          <w:marTop w:val="0"/>
          <w:marBottom w:val="0"/>
          <w:divBdr>
            <w:top w:val="none" w:sz="0" w:space="0" w:color="auto"/>
            <w:left w:val="none" w:sz="0" w:space="0" w:color="auto"/>
            <w:bottom w:val="none" w:sz="0" w:space="0" w:color="auto"/>
            <w:right w:val="none" w:sz="0" w:space="0" w:color="auto"/>
          </w:divBdr>
        </w:div>
        <w:div w:id="321471105">
          <w:marLeft w:val="0"/>
          <w:marRight w:val="0"/>
          <w:marTop w:val="0"/>
          <w:marBottom w:val="0"/>
          <w:divBdr>
            <w:top w:val="none" w:sz="0" w:space="0" w:color="auto"/>
            <w:left w:val="none" w:sz="0" w:space="0" w:color="auto"/>
            <w:bottom w:val="none" w:sz="0" w:space="0" w:color="auto"/>
            <w:right w:val="none" w:sz="0" w:space="0" w:color="auto"/>
          </w:divBdr>
        </w:div>
        <w:div w:id="1697198433">
          <w:marLeft w:val="0"/>
          <w:marRight w:val="0"/>
          <w:marTop w:val="0"/>
          <w:marBottom w:val="0"/>
          <w:divBdr>
            <w:top w:val="none" w:sz="0" w:space="0" w:color="auto"/>
            <w:left w:val="none" w:sz="0" w:space="0" w:color="auto"/>
            <w:bottom w:val="none" w:sz="0" w:space="0" w:color="auto"/>
            <w:right w:val="none" w:sz="0" w:space="0" w:color="auto"/>
          </w:divBdr>
        </w:div>
        <w:div w:id="1659459575">
          <w:marLeft w:val="0"/>
          <w:marRight w:val="0"/>
          <w:marTop w:val="0"/>
          <w:marBottom w:val="0"/>
          <w:divBdr>
            <w:top w:val="none" w:sz="0" w:space="0" w:color="auto"/>
            <w:left w:val="none" w:sz="0" w:space="0" w:color="auto"/>
            <w:bottom w:val="none" w:sz="0" w:space="0" w:color="auto"/>
            <w:right w:val="none" w:sz="0" w:space="0" w:color="auto"/>
          </w:divBdr>
        </w:div>
        <w:div w:id="1352294529">
          <w:marLeft w:val="0"/>
          <w:marRight w:val="0"/>
          <w:marTop w:val="0"/>
          <w:marBottom w:val="0"/>
          <w:divBdr>
            <w:top w:val="none" w:sz="0" w:space="0" w:color="auto"/>
            <w:left w:val="none" w:sz="0" w:space="0" w:color="auto"/>
            <w:bottom w:val="none" w:sz="0" w:space="0" w:color="auto"/>
            <w:right w:val="none" w:sz="0" w:space="0" w:color="auto"/>
          </w:divBdr>
        </w:div>
        <w:div w:id="1801193509">
          <w:marLeft w:val="0"/>
          <w:marRight w:val="0"/>
          <w:marTop w:val="0"/>
          <w:marBottom w:val="0"/>
          <w:divBdr>
            <w:top w:val="none" w:sz="0" w:space="0" w:color="auto"/>
            <w:left w:val="none" w:sz="0" w:space="0" w:color="auto"/>
            <w:bottom w:val="none" w:sz="0" w:space="0" w:color="auto"/>
            <w:right w:val="none" w:sz="0" w:space="0" w:color="auto"/>
          </w:divBdr>
        </w:div>
        <w:div w:id="1943416784">
          <w:marLeft w:val="0"/>
          <w:marRight w:val="0"/>
          <w:marTop w:val="0"/>
          <w:marBottom w:val="0"/>
          <w:divBdr>
            <w:top w:val="none" w:sz="0" w:space="0" w:color="auto"/>
            <w:left w:val="none" w:sz="0" w:space="0" w:color="auto"/>
            <w:bottom w:val="none" w:sz="0" w:space="0" w:color="auto"/>
            <w:right w:val="none" w:sz="0" w:space="0" w:color="auto"/>
          </w:divBdr>
        </w:div>
        <w:div w:id="1731609195">
          <w:marLeft w:val="0"/>
          <w:marRight w:val="0"/>
          <w:marTop w:val="0"/>
          <w:marBottom w:val="0"/>
          <w:divBdr>
            <w:top w:val="none" w:sz="0" w:space="0" w:color="auto"/>
            <w:left w:val="none" w:sz="0" w:space="0" w:color="auto"/>
            <w:bottom w:val="none" w:sz="0" w:space="0" w:color="auto"/>
            <w:right w:val="none" w:sz="0" w:space="0" w:color="auto"/>
          </w:divBdr>
        </w:div>
        <w:div w:id="353845372">
          <w:marLeft w:val="0"/>
          <w:marRight w:val="0"/>
          <w:marTop w:val="0"/>
          <w:marBottom w:val="0"/>
          <w:divBdr>
            <w:top w:val="none" w:sz="0" w:space="0" w:color="auto"/>
            <w:left w:val="none" w:sz="0" w:space="0" w:color="auto"/>
            <w:bottom w:val="none" w:sz="0" w:space="0" w:color="auto"/>
            <w:right w:val="none" w:sz="0" w:space="0" w:color="auto"/>
          </w:divBdr>
        </w:div>
        <w:div w:id="1896694429">
          <w:marLeft w:val="0"/>
          <w:marRight w:val="0"/>
          <w:marTop w:val="0"/>
          <w:marBottom w:val="0"/>
          <w:divBdr>
            <w:top w:val="none" w:sz="0" w:space="0" w:color="auto"/>
            <w:left w:val="none" w:sz="0" w:space="0" w:color="auto"/>
            <w:bottom w:val="none" w:sz="0" w:space="0" w:color="auto"/>
            <w:right w:val="none" w:sz="0" w:space="0" w:color="auto"/>
          </w:divBdr>
        </w:div>
      </w:divsChild>
    </w:div>
    <w:div w:id="1040008299">
      <w:bodyDiv w:val="1"/>
      <w:marLeft w:val="0"/>
      <w:marRight w:val="0"/>
      <w:marTop w:val="0"/>
      <w:marBottom w:val="0"/>
      <w:divBdr>
        <w:top w:val="none" w:sz="0" w:space="0" w:color="auto"/>
        <w:left w:val="none" w:sz="0" w:space="0" w:color="auto"/>
        <w:bottom w:val="none" w:sz="0" w:space="0" w:color="auto"/>
        <w:right w:val="none" w:sz="0" w:space="0" w:color="auto"/>
      </w:divBdr>
      <w:divsChild>
        <w:div w:id="1070881841">
          <w:marLeft w:val="0"/>
          <w:marRight w:val="0"/>
          <w:marTop w:val="0"/>
          <w:marBottom w:val="0"/>
          <w:divBdr>
            <w:top w:val="none" w:sz="0" w:space="0" w:color="auto"/>
            <w:left w:val="none" w:sz="0" w:space="0" w:color="auto"/>
            <w:bottom w:val="none" w:sz="0" w:space="0" w:color="auto"/>
            <w:right w:val="none" w:sz="0" w:space="0" w:color="auto"/>
          </w:divBdr>
        </w:div>
        <w:div w:id="1481115069">
          <w:marLeft w:val="0"/>
          <w:marRight w:val="0"/>
          <w:marTop w:val="0"/>
          <w:marBottom w:val="0"/>
          <w:divBdr>
            <w:top w:val="none" w:sz="0" w:space="0" w:color="auto"/>
            <w:left w:val="none" w:sz="0" w:space="0" w:color="auto"/>
            <w:bottom w:val="none" w:sz="0" w:space="0" w:color="auto"/>
            <w:right w:val="none" w:sz="0" w:space="0" w:color="auto"/>
          </w:divBdr>
        </w:div>
        <w:div w:id="594242247">
          <w:marLeft w:val="0"/>
          <w:marRight w:val="0"/>
          <w:marTop w:val="0"/>
          <w:marBottom w:val="0"/>
          <w:divBdr>
            <w:top w:val="none" w:sz="0" w:space="0" w:color="auto"/>
            <w:left w:val="none" w:sz="0" w:space="0" w:color="auto"/>
            <w:bottom w:val="none" w:sz="0" w:space="0" w:color="auto"/>
            <w:right w:val="none" w:sz="0" w:space="0" w:color="auto"/>
          </w:divBdr>
        </w:div>
        <w:div w:id="76942613">
          <w:marLeft w:val="0"/>
          <w:marRight w:val="0"/>
          <w:marTop w:val="0"/>
          <w:marBottom w:val="0"/>
          <w:divBdr>
            <w:top w:val="none" w:sz="0" w:space="0" w:color="auto"/>
            <w:left w:val="none" w:sz="0" w:space="0" w:color="auto"/>
            <w:bottom w:val="none" w:sz="0" w:space="0" w:color="auto"/>
            <w:right w:val="none" w:sz="0" w:space="0" w:color="auto"/>
          </w:divBdr>
        </w:div>
        <w:div w:id="1633512569">
          <w:marLeft w:val="0"/>
          <w:marRight w:val="0"/>
          <w:marTop w:val="0"/>
          <w:marBottom w:val="0"/>
          <w:divBdr>
            <w:top w:val="none" w:sz="0" w:space="0" w:color="auto"/>
            <w:left w:val="none" w:sz="0" w:space="0" w:color="auto"/>
            <w:bottom w:val="none" w:sz="0" w:space="0" w:color="auto"/>
            <w:right w:val="none" w:sz="0" w:space="0" w:color="auto"/>
          </w:divBdr>
        </w:div>
        <w:div w:id="1972440249">
          <w:marLeft w:val="0"/>
          <w:marRight w:val="0"/>
          <w:marTop w:val="0"/>
          <w:marBottom w:val="0"/>
          <w:divBdr>
            <w:top w:val="none" w:sz="0" w:space="0" w:color="auto"/>
            <w:left w:val="none" w:sz="0" w:space="0" w:color="auto"/>
            <w:bottom w:val="none" w:sz="0" w:space="0" w:color="auto"/>
            <w:right w:val="none" w:sz="0" w:space="0" w:color="auto"/>
          </w:divBdr>
        </w:div>
        <w:div w:id="269355284">
          <w:marLeft w:val="0"/>
          <w:marRight w:val="0"/>
          <w:marTop w:val="0"/>
          <w:marBottom w:val="0"/>
          <w:divBdr>
            <w:top w:val="none" w:sz="0" w:space="0" w:color="auto"/>
            <w:left w:val="none" w:sz="0" w:space="0" w:color="auto"/>
            <w:bottom w:val="none" w:sz="0" w:space="0" w:color="auto"/>
            <w:right w:val="none" w:sz="0" w:space="0" w:color="auto"/>
          </w:divBdr>
        </w:div>
        <w:div w:id="1274745599">
          <w:marLeft w:val="0"/>
          <w:marRight w:val="0"/>
          <w:marTop w:val="0"/>
          <w:marBottom w:val="0"/>
          <w:divBdr>
            <w:top w:val="none" w:sz="0" w:space="0" w:color="auto"/>
            <w:left w:val="none" w:sz="0" w:space="0" w:color="auto"/>
            <w:bottom w:val="none" w:sz="0" w:space="0" w:color="auto"/>
            <w:right w:val="none" w:sz="0" w:space="0" w:color="auto"/>
          </w:divBdr>
        </w:div>
        <w:div w:id="1403521524">
          <w:marLeft w:val="0"/>
          <w:marRight w:val="0"/>
          <w:marTop w:val="0"/>
          <w:marBottom w:val="0"/>
          <w:divBdr>
            <w:top w:val="none" w:sz="0" w:space="0" w:color="auto"/>
            <w:left w:val="none" w:sz="0" w:space="0" w:color="auto"/>
            <w:bottom w:val="none" w:sz="0" w:space="0" w:color="auto"/>
            <w:right w:val="none" w:sz="0" w:space="0" w:color="auto"/>
          </w:divBdr>
        </w:div>
        <w:div w:id="1601182757">
          <w:marLeft w:val="0"/>
          <w:marRight w:val="0"/>
          <w:marTop w:val="0"/>
          <w:marBottom w:val="0"/>
          <w:divBdr>
            <w:top w:val="none" w:sz="0" w:space="0" w:color="auto"/>
            <w:left w:val="none" w:sz="0" w:space="0" w:color="auto"/>
            <w:bottom w:val="none" w:sz="0" w:space="0" w:color="auto"/>
            <w:right w:val="none" w:sz="0" w:space="0" w:color="auto"/>
          </w:divBdr>
        </w:div>
        <w:div w:id="1500658151">
          <w:marLeft w:val="0"/>
          <w:marRight w:val="0"/>
          <w:marTop w:val="0"/>
          <w:marBottom w:val="0"/>
          <w:divBdr>
            <w:top w:val="none" w:sz="0" w:space="0" w:color="auto"/>
            <w:left w:val="none" w:sz="0" w:space="0" w:color="auto"/>
            <w:bottom w:val="none" w:sz="0" w:space="0" w:color="auto"/>
            <w:right w:val="none" w:sz="0" w:space="0" w:color="auto"/>
          </w:divBdr>
        </w:div>
        <w:div w:id="1833331539">
          <w:marLeft w:val="0"/>
          <w:marRight w:val="0"/>
          <w:marTop w:val="0"/>
          <w:marBottom w:val="0"/>
          <w:divBdr>
            <w:top w:val="none" w:sz="0" w:space="0" w:color="auto"/>
            <w:left w:val="none" w:sz="0" w:space="0" w:color="auto"/>
            <w:bottom w:val="none" w:sz="0" w:space="0" w:color="auto"/>
            <w:right w:val="none" w:sz="0" w:space="0" w:color="auto"/>
          </w:divBdr>
        </w:div>
        <w:div w:id="1773744557">
          <w:marLeft w:val="0"/>
          <w:marRight w:val="0"/>
          <w:marTop w:val="0"/>
          <w:marBottom w:val="0"/>
          <w:divBdr>
            <w:top w:val="none" w:sz="0" w:space="0" w:color="auto"/>
            <w:left w:val="none" w:sz="0" w:space="0" w:color="auto"/>
            <w:bottom w:val="none" w:sz="0" w:space="0" w:color="auto"/>
            <w:right w:val="none" w:sz="0" w:space="0" w:color="auto"/>
          </w:divBdr>
        </w:div>
        <w:div w:id="1342125543">
          <w:marLeft w:val="0"/>
          <w:marRight w:val="0"/>
          <w:marTop w:val="0"/>
          <w:marBottom w:val="0"/>
          <w:divBdr>
            <w:top w:val="none" w:sz="0" w:space="0" w:color="auto"/>
            <w:left w:val="none" w:sz="0" w:space="0" w:color="auto"/>
            <w:bottom w:val="none" w:sz="0" w:space="0" w:color="auto"/>
            <w:right w:val="none" w:sz="0" w:space="0" w:color="auto"/>
          </w:divBdr>
        </w:div>
        <w:div w:id="2141337216">
          <w:marLeft w:val="0"/>
          <w:marRight w:val="0"/>
          <w:marTop w:val="0"/>
          <w:marBottom w:val="0"/>
          <w:divBdr>
            <w:top w:val="none" w:sz="0" w:space="0" w:color="auto"/>
            <w:left w:val="none" w:sz="0" w:space="0" w:color="auto"/>
            <w:bottom w:val="none" w:sz="0" w:space="0" w:color="auto"/>
            <w:right w:val="none" w:sz="0" w:space="0" w:color="auto"/>
          </w:divBdr>
        </w:div>
        <w:div w:id="1777940599">
          <w:marLeft w:val="0"/>
          <w:marRight w:val="0"/>
          <w:marTop w:val="0"/>
          <w:marBottom w:val="0"/>
          <w:divBdr>
            <w:top w:val="none" w:sz="0" w:space="0" w:color="auto"/>
            <w:left w:val="none" w:sz="0" w:space="0" w:color="auto"/>
            <w:bottom w:val="none" w:sz="0" w:space="0" w:color="auto"/>
            <w:right w:val="none" w:sz="0" w:space="0" w:color="auto"/>
          </w:divBdr>
        </w:div>
        <w:div w:id="1018384201">
          <w:marLeft w:val="0"/>
          <w:marRight w:val="0"/>
          <w:marTop w:val="0"/>
          <w:marBottom w:val="0"/>
          <w:divBdr>
            <w:top w:val="none" w:sz="0" w:space="0" w:color="auto"/>
            <w:left w:val="none" w:sz="0" w:space="0" w:color="auto"/>
            <w:bottom w:val="none" w:sz="0" w:space="0" w:color="auto"/>
            <w:right w:val="none" w:sz="0" w:space="0" w:color="auto"/>
          </w:divBdr>
        </w:div>
      </w:divsChild>
    </w:div>
    <w:div w:id="1120606934">
      <w:bodyDiv w:val="1"/>
      <w:marLeft w:val="0"/>
      <w:marRight w:val="0"/>
      <w:marTop w:val="0"/>
      <w:marBottom w:val="0"/>
      <w:divBdr>
        <w:top w:val="none" w:sz="0" w:space="0" w:color="auto"/>
        <w:left w:val="none" w:sz="0" w:space="0" w:color="auto"/>
        <w:bottom w:val="none" w:sz="0" w:space="0" w:color="auto"/>
        <w:right w:val="none" w:sz="0" w:space="0" w:color="auto"/>
      </w:divBdr>
    </w:div>
    <w:div w:id="1581984381">
      <w:bodyDiv w:val="1"/>
      <w:marLeft w:val="0"/>
      <w:marRight w:val="0"/>
      <w:marTop w:val="0"/>
      <w:marBottom w:val="0"/>
      <w:divBdr>
        <w:top w:val="none" w:sz="0" w:space="0" w:color="auto"/>
        <w:left w:val="none" w:sz="0" w:space="0" w:color="auto"/>
        <w:bottom w:val="none" w:sz="0" w:space="0" w:color="auto"/>
        <w:right w:val="none" w:sz="0" w:space="0" w:color="auto"/>
      </w:divBdr>
    </w:div>
    <w:div w:id="1730104698">
      <w:bodyDiv w:val="1"/>
      <w:marLeft w:val="0"/>
      <w:marRight w:val="0"/>
      <w:marTop w:val="0"/>
      <w:marBottom w:val="0"/>
      <w:divBdr>
        <w:top w:val="none" w:sz="0" w:space="0" w:color="auto"/>
        <w:left w:val="none" w:sz="0" w:space="0" w:color="auto"/>
        <w:bottom w:val="none" w:sz="0" w:space="0" w:color="auto"/>
        <w:right w:val="none" w:sz="0" w:space="0" w:color="auto"/>
      </w:divBdr>
      <w:divsChild>
        <w:div w:id="2046982953">
          <w:marLeft w:val="0"/>
          <w:marRight w:val="0"/>
          <w:marTop w:val="0"/>
          <w:marBottom w:val="0"/>
          <w:divBdr>
            <w:top w:val="none" w:sz="0" w:space="0" w:color="auto"/>
            <w:left w:val="none" w:sz="0" w:space="0" w:color="auto"/>
            <w:bottom w:val="none" w:sz="0" w:space="0" w:color="auto"/>
            <w:right w:val="none" w:sz="0" w:space="0" w:color="auto"/>
          </w:divBdr>
        </w:div>
        <w:div w:id="2025744637">
          <w:marLeft w:val="0"/>
          <w:marRight w:val="0"/>
          <w:marTop w:val="0"/>
          <w:marBottom w:val="0"/>
          <w:divBdr>
            <w:top w:val="none" w:sz="0" w:space="0" w:color="auto"/>
            <w:left w:val="none" w:sz="0" w:space="0" w:color="auto"/>
            <w:bottom w:val="none" w:sz="0" w:space="0" w:color="auto"/>
            <w:right w:val="none" w:sz="0" w:space="0" w:color="auto"/>
          </w:divBdr>
        </w:div>
        <w:div w:id="1340305819">
          <w:marLeft w:val="0"/>
          <w:marRight w:val="0"/>
          <w:marTop w:val="0"/>
          <w:marBottom w:val="0"/>
          <w:divBdr>
            <w:top w:val="none" w:sz="0" w:space="0" w:color="auto"/>
            <w:left w:val="none" w:sz="0" w:space="0" w:color="auto"/>
            <w:bottom w:val="none" w:sz="0" w:space="0" w:color="auto"/>
            <w:right w:val="none" w:sz="0" w:space="0" w:color="auto"/>
          </w:divBdr>
        </w:div>
        <w:div w:id="1935626111">
          <w:marLeft w:val="0"/>
          <w:marRight w:val="0"/>
          <w:marTop w:val="0"/>
          <w:marBottom w:val="0"/>
          <w:divBdr>
            <w:top w:val="none" w:sz="0" w:space="0" w:color="auto"/>
            <w:left w:val="none" w:sz="0" w:space="0" w:color="auto"/>
            <w:bottom w:val="none" w:sz="0" w:space="0" w:color="auto"/>
            <w:right w:val="none" w:sz="0" w:space="0" w:color="auto"/>
          </w:divBdr>
        </w:div>
        <w:div w:id="1736781681">
          <w:marLeft w:val="0"/>
          <w:marRight w:val="0"/>
          <w:marTop w:val="0"/>
          <w:marBottom w:val="0"/>
          <w:divBdr>
            <w:top w:val="none" w:sz="0" w:space="0" w:color="auto"/>
            <w:left w:val="none" w:sz="0" w:space="0" w:color="auto"/>
            <w:bottom w:val="none" w:sz="0" w:space="0" w:color="auto"/>
            <w:right w:val="none" w:sz="0" w:space="0" w:color="auto"/>
          </w:divBdr>
        </w:div>
        <w:div w:id="143205667">
          <w:marLeft w:val="0"/>
          <w:marRight w:val="0"/>
          <w:marTop w:val="0"/>
          <w:marBottom w:val="0"/>
          <w:divBdr>
            <w:top w:val="none" w:sz="0" w:space="0" w:color="auto"/>
            <w:left w:val="none" w:sz="0" w:space="0" w:color="auto"/>
            <w:bottom w:val="none" w:sz="0" w:space="0" w:color="auto"/>
            <w:right w:val="none" w:sz="0" w:space="0" w:color="auto"/>
          </w:divBdr>
        </w:div>
        <w:div w:id="800151514">
          <w:marLeft w:val="0"/>
          <w:marRight w:val="0"/>
          <w:marTop w:val="0"/>
          <w:marBottom w:val="0"/>
          <w:divBdr>
            <w:top w:val="none" w:sz="0" w:space="0" w:color="auto"/>
            <w:left w:val="none" w:sz="0" w:space="0" w:color="auto"/>
            <w:bottom w:val="none" w:sz="0" w:space="0" w:color="auto"/>
            <w:right w:val="none" w:sz="0" w:space="0" w:color="auto"/>
          </w:divBdr>
        </w:div>
        <w:div w:id="1721053945">
          <w:marLeft w:val="0"/>
          <w:marRight w:val="0"/>
          <w:marTop w:val="0"/>
          <w:marBottom w:val="0"/>
          <w:divBdr>
            <w:top w:val="none" w:sz="0" w:space="0" w:color="auto"/>
            <w:left w:val="none" w:sz="0" w:space="0" w:color="auto"/>
            <w:bottom w:val="none" w:sz="0" w:space="0" w:color="auto"/>
            <w:right w:val="none" w:sz="0" w:space="0" w:color="auto"/>
          </w:divBdr>
        </w:div>
        <w:div w:id="28187767">
          <w:marLeft w:val="0"/>
          <w:marRight w:val="0"/>
          <w:marTop w:val="0"/>
          <w:marBottom w:val="0"/>
          <w:divBdr>
            <w:top w:val="none" w:sz="0" w:space="0" w:color="auto"/>
            <w:left w:val="none" w:sz="0" w:space="0" w:color="auto"/>
            <w:bottom w:val="none" w:sz="0" w:space="0" w:color="auto"/>
            <w:right w:val="none" w:sz="0" w:space="0" w:color="auto"/>
          </w:divBdr>
        </w:div>
        <w:div w:id="307898253">
          <w:marLeft w:val="0"/>
          <w:marRight w:val="0"/>
          <w:marTop w:val="0"/>
          <w:marBottom w:val="0"/>
          <w:divBdr>
            <w:top w:val="none" w:sz="0" w:space="0" w:color="auto"/>
            <w:left w:val="none" w:sz="0" w:space="0" w:color="auto"/>
            <w:bottom w:val="none" w:sz="0" w:space="0" w:color="auto"/>
            <w:right w:val="none" w:sz="0" w:space="0" w:color="auto"/>
          </w:divBdr>
        </w:div>
        <w:div w:id="1360400079">
          <w:marLeft w:val="0"/>
          <w:marRight w:val="0"/>
          <w:marTop w:val="0"/>
          <w:marBottom w:val="0"/>
          <w:divBdr>
            <w:top w:val="none" w:sz="0" w:space="0" w:color="auto"/>
            <w:left w:val="none" w:sz="0" w:space="0" w:color="auto"/>
            <w:bottom w:val="none" w:sz="0" w:space="0" w:color="auto"/>
            <w:right w:val="none" w:sz="0" w:space="0" w:color="auto"/>
          </w:divBdr>
        </w:div>
        <w:div w:id="908424246">
          <w:marLeft w:val="0"/>
          <w:marRight w:val="0"/>
          <w:marTop w:val="0"/>
          <w:marBottom w:val="0"/>
          <w:divBdr>
            <w:top w:val="none" w:sz="0" w:space="0" w:color="auto"/>
            <w:left w:val="none" w:sz="0" w:space="0" w:color="auto"/>
            <w:bottom w:val="none" w:sz="0" w:space="0" w:color="auto"/>
            <w:right w:val="none" w:sz="0" w:space="0" w:color="auto"/>
          </w:divBdr>
        </w:div>
        <w:div w:id="1578124404">
          <w:marLeft w:val="0"/>
          <w:marRight w:val="0"/>
          <w:marTop w:val="0"/>
          <w:marBottom w:val="0"/>
          <w:divBdr>
            <w:top w:val="none" w:sz="0" w:space="0" w:color="auto"/>
            <w:left w:val="none" w:sz="0" w:space="0" w:color="auto"/>
            <w:bottom w:val="none" w:sz="0" w:space="0" w:color="auto"/>
            <w:right w:val="none" w:sz="0" w:space="0" w:color="auto"/>
          </w:divBdr>
        </w:div>
        <w:div w:id="727143773">
          <w:marLeft w:val="0"/>
          <w:marRight w:val="0"/>
          <w:marTop w:val="0"/>
          <w:marBottom w:val="0"/>
          <w:divBdr>
            <w:top w:val="none" w:sz="0" w:space="0" w:color="auto"/>
            <w:left w:val="none" w:sz="0" w:space="0" w:color="auto"/>
            <w:bottom w:val="none" w:sz="0" w:space="0" w:color="auto"/>
            <w:right w:val="none" w:sz="0" w:space="0" w:color="auto"/>
          </w:divBdr>
        </w:div>
        <w:div w:id="1797678014">
          <w:marLeft w:val="0"/>
          <w:marRight w:val="0"/>
          <w:marTop w:val="0"/>
          <w:marBottom w:val="0"/>
          <w:divBdr>
            <w:top w:val="none" w:sz="0" w:space="0" w:color="auto"/>
            <w:left w:val="none" w:sz="0" w:space="0" w:color="auto"/>
            <w:bottom w:val="none" w:sz="0" w:space="0" w:color="auto"/>
            <w:right w:val="none" w:sz="0" w:space="0" w:color="auto"/>
          </w:divBdr>
        </w:div>
        <w:div w:id="345792784">
          <w:marLeft w:val="0"/>
          <w:marRight w:val="0"/>
          <w:marTop w:val="0"/>
          <w:marBottom w:val="0"/>
          <w:divBdr>
            <w:top w:val="none" w:sz="0" w:space="0" w:color="auto"/>
            <w:left w:val="none" w:sz="0" w:space="0" w:color="auto"/>
            <w:bottom w:val="none" w:sz="0" w:space="0" w:color="auto"/>
            <w:right w:val="none" w:sz="0" w:space="0" w:color="auto"/>
          </w:divBdr>
        </w:div>
        <w:div w:id="1011029362">
          <w:marLeft w:val="0"/>
          <w:marRight w:val="0"/>
          <w:marTop w:val="0"/>
          <w:marBottom w:val="0"/>
          <w:divBdr>
            <w:top w:val="none" w:sz="0" w:space="0" w:color="auto"/>
            <w:left w:val="none" w:sz="0" w:space="0" w:color="auto"/>
            <w:bottom w:val="none" w:sz="0" w:space="0" w:color="auto"/>
            <w:right w:val="none" w:sz="0" w:space="0" w:color="auto"/>
          </w:divBdr>
        </w:div>
        <w:div w:id="979846714">
          <w:marLeft w:val="0"/>
          <w:marRight w:val="0"/>
          <w:marTop w:val="0"/>
          <w:marBottom w:val="0"/>
          <w:divBdr>
            <w:top w:val="none" w:sz="0" w:space="0" w:color="auto"/>
            <w:left w:val="none" w:sz="0" w:space="0" w:color="auto"/>
            <w:bottom w:val="none" w:sz="0" w:space="0" w:color="auto"/>
            <w:right w:val="none" w:sz="0" w:space="0" w:color="auto"/>
          </w:divBdr>
        </w:div>
        <w:div w:id="1303579693">
          <w:marLeft w:val="0"/>
          <w:marRight w:val="0"/>
          <w:marTop w:val="0"/>
          <w:marBottom w:val="0"/>
          <w:divBdr>
            <w:top w:val="none" w:sz="0" w:space="0" w:color="auto"/>
            <w:left w:val="none" w:sz="0" w:space="0" w:color="auto"/>
            <w:bottom w:val="none" w:sz="0" w:space="0" w:color="auto"/>
            <w:right w:val="none" w:sz="0" w:space="0" w:color="auto"/>
          </w:divBdr>
        </w:div>
        <w:div w:id="577518061">
          <w:marLeft w:val="0"/>
          <w:marRight w:val="0"/>
          <w:marTop w:val="0"/>
          <w:marBottom w:val="0"/>
          <w:divBdr>
            <w:top w:val="none" w:sz="0" w:space="0" w:color="auto"/>
            <w:left w:val="none" w:sz="0" w:space="0" w:color="auto"/>
            <w:bottom w:val="none" w:sz="0" w:space="0" w:color="auto"/>
            <w:right w:val="none" w:sz="0" w:space="0" w:color="auto"/>
          </w:divBdr>
        </w:div>
        <w:div w:id="1105732710">
          <w:marLeft w:val="0"/>
          <w:marRight w:val="0"/>
          <w:marTop w:val="0"/>
          <w:marBottom w:val="0"/>
          <w:divBdr>
            <w:top w:val="none" w:sz="0" w:space="0" w:color="auto"/>
            <w:left w:val="none" w:sz="0" w:space="0" w:color="auto"/>
            <w:bottom w:val="none" w:sz="0" w:space="0" w:color="auto"/>
            <w:right w:val="none" w:sz="0" w:space="0" w:color="auto"/>
          </w:divBdr>
        </w:div>
        <w:div w:id="1988167795">
          <w:marLeft w:val="0"/>
          <w:marRight w:val="0"/>
          <w:marTop w:val="0"/>
          <w:marBottom w:val="0"/>
          <w:divBdr>
            <w:top w:val="none" w:sz="0" w:space="0" w:color="auto"/>
            <w:left w:val="none" w:sz="0" w:space="0" w:color="auto"/>
            <w:bottom w:val="none" w:sz="0" w:space="0" w:color="auto"/>
            <w:right w:val="none" w:sz="0" w:space="0" w:color="auto"/>
          </w:divBdr>
        </w:div>
        <w:div w:id="498934850">
          <w:marLeft w:val="0"/>
          <w:marRight w:val="0"/>
          <w:marTop w:val="0"/>
          <w:marBottom w:val="0"/>
          <w:divBdr>
            <w:top w:val="none" w:sz="0" w:space="0" w:color="auto"/>
            <w:left w:val="none" w:sz="0" w:space="0" w:color="auto"/>
            <w:bottom w:val="none" w:sz="0" w:space="0" w:color="auto"/>
            <w:right w:val="none" w:sz="0" w:space="0" w:color="auto"/>
          </w:divBdr>
        </w:div>
        <w:div w:id="2125608418">
          <w:marLeft w:val="0"/>
          <w:marRight w:val="0"/>
          <w:marTop w:val="0"/>
          <w:marBottom w:val="0"/>
          <w:divBdr>
            <w:top w:val="none" w:sz="0" w:space="0" w:color="auto"/>
            <w:left w:val="none" w:sz="0" w:space="0" w:color="auto"/>
            <w:bottom w:val="none" w:sz="0" w:space="0" w:color="auto"/>
            <w:right w:val="none" w:sz="0" w:space="0" w:color="auto"/>
          </w:divBdr>
        </w:div>
        <w:div w:id="1208104037">
          <w:marLeft w:val="0"/>
          <w:marRight w:val="0"/>
          <w:marTop w:val="0"/>
          <w:marBottom w:val="0"/>
          <w:divBdr>
            <w:top w:val="none" w:sz="0" w:space="0" w:color="auto"/>
            <w:left w:val="none" w:sz="0" w:space="0" w:color="auto"/>
            <w:bottom w:val="none" w:sz="0" w:space="0" w:color="auto"/>
            <w:right w:val="none" w:sz="0" w:space="0" w:color="auto"/>
          </w:divBdr>
        </w:div>
        <w:div w:id="797796272">
          <w:marLeft w:val="0"/>
          <w:marRight w:val="0"/>
          <w:marTop w:val="0"/>
          <w:marBottom w:val="0"/>
          <w:divBdr>
            <w:top w:val="none" w:sz="0" w:space="0" w:color="auto"/>
            <w:left w:val="none" w:sz="0" w:space="0" w:color="auto"/>
            <w:bottom w:val="none" w:sz="0" w:space="0" w:color="auto"/>
            <w:right w:val="none" w:sz="0" w:space="0" w:color="auto"/>
          </w:divBdr>
        </w:div>
        <w:div w:id="1949774298">
          <w:marLeft w:val="0"/>
          <w:marRight w:val="0"/>
          <w:marTop w:val="0"/>
          <w:marBottom w:val="0"/>
          <w:divBdr>
            <w:top w:val="none" w:sz="0" w:space="0" w:color="auto"/>
            <w:left w:val="none" w:sz="0" w:space="0" w:color="auto"/>
            <w:bottom w:val="none" w:sz="0" w:space="0" w:color="auto"/>
            <w:right w:val="none" w:sz="0" w:space="0" w:color="auto"/>
          </w:divBdr>
        </w:div>
        <w:div w:id="426778896">
          <w:marLeft w:val="0"/>
          <w:marRight w:val="0"/>
          <w:marTop w:val="0"/>
          <w:marBottom w:val="0"/>
          <w:divBdr>
            <w:top w:val="none" w:sz="0" w:space="0" w:color="auto"/>
            <w:left w:val="none" w:sz="0" w:space="0" w:color="auto"/>
            <w:bottom w:val="none" w:sz="0" w:space="0" w:color="auto"/>
            <w:right w:val="none" w:sz="0" w:space="0" w:color="auto"/>
          </w:divBdr>
        </w:div>
        <w:div w:id="1851673855">
          <w:marLeft w:val="0"/>
          <w:marRight w:val="0"/>
          <w:marTop w:val="0"/>
          <w:marBottom w:val="0"/>
          <w:divBdr>
            <w:top w:val="none" w:sz="0" w:space="0" w:color="auto"/>
            <w:left w:val="none" w:sz="0" w:space="0" w:color="auto"/>
            <w:bottom w:val="none" w:sz="0" w:space="0" w:color="auto"/>
            <w:right w:val="none" w:sz="0" w:space="0" w:color="auto"/>
          </w:divBdr>
        </w:div>
        <w:div w:id="1959754588">
          <w:marLeft w:val="0"/>
          <w:marRight w:val="0"/>
          <w:marTop w:val="0"/>
          <w:marBottom w:val="0"/>
          <w:divBdr>
            <w:top w:val="none" w:sz="0" w:space="0" w:color="auto"/>
            <w:left w:val="none" w:sz="0" w:space="0" w:color="auto"/>
            <w:bottom w:val="none" w:sz="0" w:space="0" w:color="auto"/>
            <w:right w:val="none" w:sz="0" w:space="0" w:color="auto"/>
          </w:divBdr>
        </w:div>
        <w:div w:id="741100840">
          <w:marLeft w:val="0"/>
          <w:marRight w:val="0"/>
          <w:marTop w:val="0"/>
          <w:marBottom w:val="0"/>
          <w:divBdr>
            <w:top w:val="none" w:sz="0" w:space="0" w:color="auto"/>
            <w:left w:val="none" w:sz="0" w:space="0" w:color="auto"/>
            <w:bottom w:val="none" w:sz="0" w:space="0" w:color="auto"/>
            <w:right w:val="none" w:sz="0" w:space="0" w:color="auto"/>
          </w:divBdr>
        </w:div>
        <w:div w:id="498084081">
          <w:marLeft w:val="0"/>
          <w:marRight w:val="0"/>
          <w:marTop w:val="0"/>
          <w:marBottom w:val="0"/>
          <w:divBdr>
            <w:top w:val="none" w:sz="0" w:space="0" w:color="auto"/>
            <w:left w:val="none" w:sz="0" w:space="0" w:color="auto"/>
            <w:bottom w:val="none" w:sz="0" w:space="0" w:color="auto"/>
            <w:right w:val="none" w:sz="0" w:space="0" w:color="auto"/>
          </w:divBdr>
        </w:div>
        <w:div w:id="807479967">
          <w:marLeft w:val="0"/>
          <w:marRight w:val="0"/>
          <w:marTop w:val="0"/>
          <w:marBottom w:val="0"/>
          <w:divBdr>
            <w:top w:val="none" w:sz="0" w:space="0" w:color="auto"/>
            <w:left w:val="none" w:sz="0" w:space="0" w:color="auto"/>
            <w:bottom w:val="none" w:sz="0" w:space="0" w:color="auto"/>
            <w:right w:val="none" w:sz="0" w:space="0" w:color="auto"/>
          </w:divBdr>
        </w:div>
        <w:div w:id="471019404">
          <w:marLeft w:val="0"/>
          <w:marRight w:val="0"/>
          <w:marTop w:val="0"/>
          <w:marBottom w:val="0"/>
          <w:divBdr>
            <w:top w:val="none" w:sz="0" w:space="0" w:color="auto"/>
            <w:left w:val="none" w:sz="0" w:space="0" w:color="auto"/>
            <w:bottom w:val="none" w:sz="0" w:space="0" w:color="auto"/>
            <w:right w:val="none" w:sz="0" w:space="0" w:color="auto"/>
          </w:divBdr>
        </w:div>
        <w:div w:id="908616071">
          <w:marLeft w:val="0"/>
          <w:marRight w:val="0"/>
          <w:marTop w:val="0"/>
          <w:marBottom w:val="0"/>
          <w:divBdr>
            <w:top w:val="none" w:sz="0" w:space="0" w:color="auto"/>
            <w:left w:val="none" w:sz="0" w:space="0" w:color="auto"/>
            <w:bottom w:val="none" w:sz="0" w:space="0" w:color="auto"/>
            <w:right w:val="none" w:sz="0" w:space="0" w:color="auto"/>
          </w:divBdr>
        </w:div>
        <w:div w:id="803349094">
          <w:marLeft w:val="0"/>
          <w:marRight w:val="0"/>
          <w:marTop w:val="0"/>
          <w:marBottom w:val="0"/>
          <w:divBdr>
            <w:top w:val="none" w:sz="0" w:space="0" w:color="auto"/>
            <w:left w:val="none" w:sz="0" w:space="0" w:color="auto"/>
            <w:bottom w:val="none" w:sz="0" w:space="0" w:color="auto"/>
            <w:right w:val="none" w:sz="0" w:space="0" w:color="auto"/>
          </w:divBdr>
        </w:div>
        <w:div w:id="817720795">
          <w:marLeft w:val="0"/>
          <w:marRight w:val="0"/>
          <w:marTop w:val="0"/>
          <w:marBottom w:val="0"/>
          <w:divBdr>
            <w:top w:val="none" w:sz="0" w:space="0" w:color="auto"/>
            <w:left w:val="none" w:sz="0" w:space="0" w:color="auto"/>
            <w:bottom w:val="none" w:sz="0" w:space="0" w:color="auto"/>
            <w:right w:val="none" w:sz="0" w:space="0" w:color="auto"/>
          </w:divBdr>
        </w:div>
        <w:div w:id="491484367">
          <w:marLeft w:val="0"/>
          <w:marRight w:val="0"/>
          <w:marTop w:val="0"/>
          <w:marBottom w:val="0"/>
          <w:divBdr>
            <w:top w:val="none" w:sz="0" w:space="0" w:color="auto"/>
            <w:left w:val="none" w:sz="0" w:space="0" w:color="auto"/>
            <w:bottom w:val="none" w:sz="0" w:space="0" w:color="auto"/>
            <w:right w:val="none" w:sz="0" w:space="0" w:color="auto"/>
          </w:divBdr>
        </w:div>
        <w:div w:id="1242178372">
          <w:marLeft w:val="0"/>
          <w:marRight w:val="0"/>
          <w:marTop w:val="0"/>
          <w:marBottom w:val="0"/>
          <w:divBdr>
            <w:top w:val="none" w:sz="0" w:space="0" w:color="auto"/>
            <w:left w:val="none" w:sz="0" w:space="0" w:color="auto"/>
            <w:bottom w:val="none" w:sz="0" w:space="0" w:color="auto"/>
            <w:right w:val="none" w:sz="0" w:space="0" w:color="auto"/>
          </w:divBdr>
        </w:div>
        <w:div w:id="1921789290">
          <w:marLeft w:val="0"/>
          <w:marRight w:val="0"/>
          <w:marTop w:val="0"/>
          <w:marBottom w:val="0"/>
          <w:divBdr>
            <w:top w:val="none" w:sz="0" w:space="0" w:color="auto"/>
            <w:left w:val="none" w:sz="0" w:space="0" w:color="auto"/>
            <w:bottom w:val="none" w:sz="0" w:space="0" w:color="auto"/>
            <w:right w:val="none" w:sz="0" w:space="0" w:color="auto"/>
          </w:divBdr>
        </w:div>
        <w:div w:id="1352564538">
          <w:marLeft w:val="0"/>
          <w:marRight w:val="0"/>
          <w:marTop w:val="0"/>
          <w:marBottom w:val="0"/>
          <w:divBdr>
            <w:top w:val="none" w:sz="0" w:space="0" w:color="auto"/>
            <w:left w:val="none" w:sz="0" w:space="0" w:color="auto"/>
            <w:bottom w:val="none" w:sz="0" w:space="0" w:color="auto"/>
            <w:right w:val="none" w:sz="0" w:space="0" w:color="auto"/>
          </w:divBdr>
        </w:div>
        <w:div w:id="268392937">
          <w:marLeft w:val="0"/>
          <w:marRight w:val="0"/>
          <w:marTop w:val="0"/>
          <w:marBottom w:val="0"/>
          <w:divBdr>
            <w:top w:val="none" w:sz="0" w:space="0" w:color="auto"/>
            <w:left w:val="none" w:sz="0" w:space="0" w:color="auto"/>
            <w:bottom w:val="none" w:sz="0" w:space="0" w:color="auto"/>
            <w:right w:val="none" w:sz="0" w:space="0" w:color="auto"/>
          </w:divBdr>
        </w:div>
        <w:div w:id="1638561508">
          <w:marLeft w:val="0"/>
          <w:marRight w:val="0"/>
          <w:marTop w:val="0"/>
          <w:marBottom w:val="0"/>
          <w:divBdr>
            <w:top w:val="none" w:sz="0" w:space="0" w:color="auto"/>
            <w:left w:val="none" w:sz="0" w:space="0" w:color="auto"/>
            <w:bottom w:val="none" w:sz="0" w:space="0" w:color="auto"/>
            <w:right w:val="none" w:sz="0" w:space="0" w:color="auto"/>
          </w:divBdr>
        </w:div>
        <w:div w:id="855386024">
          <w:marLeft w:val="0"/>
          <w:marRight w:val="0"/>
          <w:marTop w:val="0"/>
          <w:marBottom w:val="0"/>
          <w:divBdr>
            <w:top w:val="none" w:sz="0" w:space="0" w:color="auto"/>
            <w:left w:val="none" w:sz="0" w:space="0" w:color="auto"/>
            <w:bottom w:val="none" w:sz="0" w:space="0" w:color="auto"/>
            <w:right w:val="none" w:sz="0" w:space="0" w:color="auto"/>
          </w:divBdr>
        </w:div>
        <w:div w:id="2037924545">
          <w:marLeft w:val="0"/>
          <w:marRight w:val="0"/>
          <w:marTop w:val="0"/>
          <w:marBottom w:val="0"/>
          <w:divBdr>
            <w:top w:val="none" w:sz="0" w:space="0" w:color="auto"/>
            <w:left w:val="none" w:sz="0" w:space="0" w:color="auto"/>
            <w:bottom w:val="none" w:sz="0" w:space="0" w:color="auto"/>
            <w:right w:val="none" w:sz="0" w:space="0" w:color="auto"/>
          </w:divBdr>
        </w:div>
        <w:div w:id="184297985">
          <w:marLeft w:val="0"/>
          <w:marRight w:val="0"/>
          <w:marTop w:val="0"/>
          <w:marBottom w:val="0"/>
          <w:divBdr>
            <w:top w:val="none" w:sz="0" w:space="0" w:color="auto"/>
            <w:left w:val="none" w:sz="0" w:space="0" w:color="auto"/>
            <w:bottom w:val="none" w:sz="0" w:space="0" w:color="auto"/>
            <w:right w:val="none" w:sz="0" w:space="0" w:color="auto"/>
          </w:divBdr>
        </w:div>
        <w:div w:id="1784960344">
          <w:marLeft w:val="0"/>
          <w:marRight w:val="0"/>
          <w:marTop w:val="0"/>
          <w:marBottom w:val="0"/>
          <w:divBdr>
            <w:top w:val="none" w:sz="0" w:space="0" w:color="auto"/>
            <w:left w:val="none" w:sz="0" w:space="0" w:color="auto"/>
            <w:bottom w:val="none" w:sz="0" w:space="0" w:color="auto"/>
            <w:right w:val="none" w:sz="0" w:space="0" w:color="auto"/>
          </w:divBdr>
        </w:div>
        <w:div w:id="829250062">
          <w:marLeft w:val="0"/>
          <w:marRight w:val="0"/>
          <w:marTop w:val="0"/>
          <w:marBottom w:val="0"/>
          <w:divBdr>
            <w:top w:val="none" w:sz="0" w:space="0" w:color="auto"/>
            <w:left w:val="none" w:sz="0" w:space="0" w:color="auto"/>
            <w:bottom w:val="none" w:sz="0" w:space="0" w:color="auto"/>
            <w:right w:val="none" w:sz="0" w:space="0" w:color="auto"/>
          </w:divBdr>
        </w:div>
        <w:div w:id="1589538587">
          <w:marLeft w:val="0"/>
          <w:marRight w:val="0"/>
          <w:marTop w:val="0"/>
          <w:marBottom w:val="0"/>
          <w:divBdr>
            <w:top w:val="none" w:sz="0" w:space="0" w:color="auto"/>
            <w:left w:val="none" w:sz="0" w:space="0" w:color="auto"/>
            <w:bottom w:val="none" w:sz="0" w:space="0" w:color="auto"/>
            <w:right w:val="none" w:sz="0" w:space="0" w:color="auto"/>
          </w:divBdr>
        </w:div>
        <w:div w:id="241985528">
          <w:marLeft w:val="0"/>
          <w:marRight w:val="0"/>
          <w:marTop w:val="0"/>
          <w:marBottom w:val="0"/>
          <w:divBdr>
            <w:top w:val="none" w:sz="0" w:space="0" w:color="auto"/>
            <w:left w:val="none" w:sz="0" w:space="0" w:color="auto"/>
            <w:bottom w:val="none" w:sz="0" w:space="0" w:color="auto"/>
            <w:right w:val="none" w:sz="0" w:space="0" w:color="auto"/>
          </w:divBdr>
        </w:div>
        <w:div w:id="1051002923">
          <w:marLeft w:val="0"/>
          <w:marRight w:val="0"/>
          <w:marTop w:val="0"/>
          <w:marBottom w:val="0"/>
          <w:divBdr>
            <w:top w:val="none" w:sz="0" w:space="0" w:color="auto"/>
            <w:left w:val="none" w:sz="0" w:space="0" w:color="auto"/>
            <w:bottom w:val="none" w:sz="0" w:space="0" w:color="auto"/>
            <w:right w:val="none" w:sz="0" w:space="0" w:color="auto"/>
          </w:divBdr>
        </w:div>
        <w:div w:id="1674721720">
          <w:marLeft w:val="0"/>
          <w:marRight w:val="0"/>
          <w:marTop w:val="0"/>
          <w:marBottom w:val="0"/>
          <w:divBdr>
            <w:top w:val="none" w:sz="0" w:space="0" w:color="auto"/>
            <w:left w:val="none" w:sz="0" w:space="0" w:color="auto"/>
            <w:bottom w:val="none" w:sz="0" w:space="0" w:color="auto"/>
            <w:right w:val="none" w:sz="0" w:space="0" w:color="auto"/>
          </w:divBdr>
        </w:div>
        <w:div w:id="1691301036">
          <w:marLeft w:val="0"/>
          <w:marRight w:val="0"/>
          <w:marTop w:val="0"/>
          <w:marBottom w:val="0"/>
          <w:divBdr>
            <w:top w:val="none" w:sz="0" w:space="0" w:color="auto"/>
            <w:left w:val="none" w:sz="0" w:space="0" w:color="auto"/>
            <w:bottom w:val="none" w:sz="0" w:space="0" w:color="auto"/>
            <w:right w:val="none" w:sz="0" w:space="0" w:color="auto"/>
          </w:divBdr>
        </w:div>
        <w:div w:id="1392926104">
          <w:marLeft w:val="0"/>
          <w:marRight w:val="0"/>
          <w:marTop w:val="0"/>
          <w:marBottom w:val="0"/>
          <w:divBdr>
            <w:top w:val="none" w:sz="0" w:space="0" w:color="auto"/>
            <w:left w:val="none" w:sz="0" w:space="0" w:color="auto"/>
            <w:bottom w:val="none" w:sz="0" w:space="0" w:color="auto"/>
            <w:right w:val="none" w:sz="0" w:space="0" w:color="auto"/>
          </w:divBdr>
        </w:div>
        <w:div w:id="1031689384">
          <w:marLeft w:val="0"/>
          <w:marRight w:val="0"/>
          <w:marTop w:val="0"/>
          <w:marBottom w:val="0"/>
          <w:divBdr>
            <w:top w:val="none" w:sz="0" w:space="0" w:color="auto"/>
            <w:left w:val="none" w:sz="0" w:space="0" w:color="auto"/>
            <w:bottom w:val="none" w:sz="0" w:space="0" w:color="auto"/>
            <w:right w:val="none" w:sz="0" w:space="0" w:color="auto"/>
          </w:divBdr>
        </w:div>
        <w:div w:id="1670675739">
          <w:marLeft w:val="0"/>
          <w:marRight w:val="0"/>
          <w:marTop w:val="0"/>
          <w:marBottom w:val="0"/>
          <w:divBdr>
            <w:top w:val="none" w:sz="0" w:space="0" w:color="auto"/>
            <w:left w:val="none" w:sz="0" w:space="0" w:color="auto"/>
            <w:bottom w:val="none" w:sz="0" w:space="0" w:color="auto"/>
            <w:right w:val="none" w:sz="0" w:space="0" w:color="auto"/>
          </w:divBdr>
        </w:div>
        <w:div w:id="664162558">
          <w:marLeft w:val="0"/>
          <w:marRight w:val="0"/>
          <w:marTop w:val="0"/>
          <w:marBottom w:val="0"/>
          <w:divBdr>
            <w:top w:val="none" w:sz="0" w:space="0" w:color="auto"/>
            <w:left w:val="none" w:sz="0" w:space="0" w:color="auto"/>
            <w:bottom w:val="none" w:sz="0" w:space="0" w:color="auto"/>
            <w:right w:val="none" w:sz="0" w:space="0" w:color="auto"/>
          </w:divBdr>
        </w:div>
        <w:div w:id="1350641160">
          <w:marLeft w:val="0"/>
          <w:marRight w:val="0"/>
          <w:marTop w:val="0"/>
          <w:marBottom w:val="0"/>
          <w:divBdr>
            <w:top w:val="none" w:sz="0" w:space="0" w:color="auto"/>
            <w:left w:val="none" w:sz="0" w:space="0" w:color="auto"/>
            <w:bottom w:val="none" w:sz="0" w:space="0" w:color="auto"/>
            <w:right w:val="none" w:sz="0" w:space="0" w:color="auto"/>
          </w:divBdr>
        </w:div>
        <w:div w:id="260794534">
          <w:marLeft w:val="0"/>
          <w:marRight w:val="0"/>
          <w:marTop w:val="0"/>
          <w:marBottom w:val="0"/>
          <w:divBdr>
            <w:top w:val="none" w:sz="0" w:space="0" w:color="auto"/>
            <w:left w:val="none" w:sz="0" w:space="0" w:color="auto"/>
            <w:bottom w:val="none" w:sz="0" w:space="0" w:color="auto"/>
            <w:right w:val="none" w:sz="0" w:space="0" w:color="auto"/>
          </w:divBdr>
        </w:div>
        <w:div w:id="1404447137">
          <w:marLeft w:val="0"/>
          <w:marRight w:val="0"/>
          <w:marTop w:val="0"/>
          <w:marBottom w:val="0"/>
          <w:divBdr>
            <w:top w:val="none" w:sz="0" w:space="0" w:color="auto"/>
            <w:left w:val="none" w:sz="0" w:space="0" w:color="auto"/>
            <w:bottom w:val="none" w:sz="0" w:space="0" w:color="auto"/>
            <w:right w:val="none" w:sz="0" w:space="0" w:color="auto"/>
          </w:divBdr>
        </w:div>
        <w:div w:id="539512044">
          <w:marLeft w:val="0"/>
          <w:marRight w:val="0"/>
          <w:marTop w:val="0"/>
          <w:marBottom w:val="0"/>
          <w:divBdr>
            <w:top w:val="none" w:sz="0" w:space="0" w:color="auto"/>
            <w:left w:val="none" w:sz="0" w:space="0" w:color="auto"/>
            <w:bottom w:val="none" w:sz="0" w:space="0" w:color="auto"/>
            <w:right w:val="none" w:sz="0" w:space="0" w:color="auto"/>
          </w:divBdr>
        </w:div>
        <w:div w:id="519464984">
          <w:marLeft w:val="0"/>
          <w:marRight w:val="0"/>
          <w:marTop w:val="0"/>
          <w:marBottom w:val="0"/>
          <w:divBdr>
            <w:top w:val="none" w:sz="0" w:space="0" w:color="auto"/>
            <w:left w:val="none" w:sz="0" w:space="0" w:color="auto"/>
            <w:bottom w:val="none" w:sz="0" w:space="0" w:color="auto"/>
            <w:right w:val="none" w:sz="0" w:space="0" w:color="auto"/>
          </w:divBdr>
        </w:div>
        <w:div w:id="2130972216">
          <w:marLeft w:val="0"/>
          <w:marRight w:val="0"/>
          <w:marTop w:val="0"/>
          <w:marBottom w:val="0"/>
          <w:divBdr>
            <w:top w:val="none" w:sz="0" w:space="0" w:color="auto"/>
            <w:left w:val="none" w:sz="0" w:space="0" w:color="auto"/>
            <w:bottom w:val="none" w:sz="0" w:space="0" w:color="auto"/>
            <w:right w:val="none" w:sz="0" w:space="0" w:color="auto"/>
          </w:divBdr>
        </w:div>
        <w:div w:id="181365608">
          <w:marLeft w:val="0"/>
          <w:marRight w:val="0"/>
          <w:marTop w:val="0"/>
          <w:marBottom w:val="0"/>
          <w:divBdr>
            <w:top w:val="none" w:sz="0" w:space="0" w:color="auto"/>
            <w:left w:val="none" w:sz="0" w:space="0" w:color="auto"/>
            <w:bottom w:val="none" w:sz="0" w:space="0" w:color="auto"/>
            <w:right w:val="none" w:sz="0" w:space="0" w:color="auto"/>
          </w:divBdr>
        </w:div>
        <w:div w:id="721557304">
          <w:marLeft w:val="0"/>
          <w:marRight w:val="0"/>
          <w:marTop w:val="0"/>
          <w:marBottom w:val="0"/>
          <w:divBdr>
            <w:top w:val="none" w:sz="0" w:space="0" w:color="auto"/>
            <w:left w:val="none" w:sz="0" w:space="0" w:color="auto"/>
            <w:bottom w:val="none" w:sz="0" w:space="0" w:color="auto"/>
            <w:right w:val="none" w:sz="0" w:space="0" w:color="auto"/>
          </w:divBdr>
        </w:div>
        <w:div w:id="1113743516">
          <w:marLeft w:val="0"/>
          <w:marRight w:val="0"/>
          <w:marTop w:val="0"/>
          <w:marBottom w:val="0"/>
          <w:divBdr>
            <w:top w:val="none" w:sz="0" w:space="0" w:color="auto"/>
            <w:left w:val="none" w:sz="0" w:space="0" w:color="auto"/>
            <w:bottom w:val="none" w:sz="0" w:space="0" w:color="auto"/>
            <w:right w:val="none" w:sz="0" w:space="0" w:color="auto"/>
          </w:divBdr>
        </w:div>
        <w:div w:id="1811169716">
          <w:marLeft w:val="0"/>
          <w:marRight w:val="0"/>
          <w:marTop w:val="0"/>
          <w:marBottom w:val="0"/>
          <w:divBdr>
            <w:top w:val="none" w:sz="0" w:space="0" w:color="auto"/>
            <w:left w:val="none" w:sz="0" w:space="0" w:color="auto"/>
            <w:bottom w:val="none" w:sz="0" w:space="0" w:color="auto"/>
            <w:right w:val="none" w:sz="0" w:space="0" w:color="auto"/>
          </w:divBdr>
        </w:div>
        <w:div w:id="670066530">
          <w:marLeft w:val="0"/>
          <w:marRight w:val="0"/>
          <w:marTop w:val="0"/>
          <w:marBottom w:val="0"/>
          <w:divBdr>
            <w:top w:val="none" w:sz="0" w:space="0" w:color="auto"/>
            <w:left w:val="none" w:sz="0" w:space="0" w:color="auto"/>
            <w:bottom w:val="none" w:sz="0" w:space="0" w:color="auto"/>
            <w:right w:val="none" w:sz="0" w:space="0" w:color="auto"/>
          </w:divBdr>
        </w:div>
        <w:div w:id="780027850">
          <w:marLeft w:val="0"/>
          <w:marRight w:val="0"/>
          <w:marTop w:val="0"/>
          <w:marBottom w:val="0"/>
          <w:divBdr>
            <w:top w:val="none" w:sz="0" w:space="0" w:color="auto"/>
            <w:left w:val="none" w:sz="0" w:space="0" w:color="auto"/>
            <w:bottom w:val="none" w:sz="0" w:space="0" w:color="auto"/>
            <w:right w:val="none" w:sz="0" w:space="0" w:color="auto"/>
          </w:divBdr>
        </w:div>
        <w:div w:id="676612925">
          <w:marLeft w:val="0"/>
          <w:marRight w:val="0"/>
          <w:marTop w:val="0"/>
          <w:marBottom w:val="0"/>
          <w:divBdr>
            <w:top w:val="none" w:sz="0" w:space="0" w:color="auto"/>
            <w:left w:val="none" w:sz="0" w:space="0" w:color="auto"/>
            <w:bottom w:val="none" w:sz="0" w:space="0" w:color="auto"/>
            <w:right w:val="none" w:sz="0" w:space="0" w:color="auto"/>
          </w:divBdr>
        </w:div>
        <w:div w:id="120615326">
          <w:marLeft w:val="0"/>
          <w:marRight w:val="0"/>
          <w:marTop w:val="0"/>
          <w:marBottom w:val="0"/>
          <w:divBdr>
            <w:top w:val="none" w:sz="0" w:space="0" w:color="auto"/>
            <w:left w:val="none" w:sz="0" w:space="0" w:color="auto"/>
            <w:bottom w:val="none" w:sz="0" w:space="0" w:color="auto"/>
            <w:right w:val="none" w:sz="0" w:space="0" w:color="auto"/>
          </w:divBdr>
        </w:div>
        <w:div w:id="1497956973">
          <w:marLeft w:val="0"/>
          <w:marRight w:val="0"/>
          <w:marTop w:val="0"/>
          <w:marBottom w:val="0"/>
          <w:divBdr>
            <w:top w:val="none" w:sz="0" w:space="0" w:color="auto"/>
            <w:left w:val="none" w:sz="0" w:space="0" w:color="auto"/>
            <w:bottom w:val="none" w:sz="0" w:space="0" w:color="auto"/>
            <w:right w:val="none" w:sz="0" w:space="0" w:color="auto"/>
          </w:divBdr>
        </w:div>
        <w:div w:id="659235446">
          <w:marLeft w:val="0"/>
          <w:marRight w:val="0"/>
          <w:marTop w:val="0"/>
          <w:marBottom w:val="0"/>
          <w:divBdr>
            <w:top w:val="none" w:sz="0" w:space="0" w:color="auto"/>
            <w:left w:val="none" w:sz="0" w:space="0" w:color="auto"/>
            <w:bottom w:val="none" w:sz="0" w:space="0" w:color="auto"/>
            <w:right w:val="none" w:sz="0" w:space="0" w:color="auto"/>
          </w:divBdr>
        </w:div>
        <w:div w:id="419713351">
          <w:marLeft w:val="0"/>
          <w:marRight w:val="0"/>
          <w:marTop w:val="0"/>
          <w:marBottom w:val="0"/>
          <w:divBdr>
            <w:top w:val="none" w:sz="0" w:space="0" w:color="auto"/>
            <w:left w:val="none" w:sz="0" w:space="0" w:color="auto"/>
            <w:bottom w:val="none" w:sz="0" w:space="0" w:color="auto"/>
            <w:right w:val="none" w:sz="0" w:space="0" w:color="auto"/>
          </w:divBdr>
        </w:div>
        <w:div w:id="585000508">
          <w:marLeft w:val="0"/>
          <w:marRight w:val="0"/>
          <w:marTop w:val="0"/>
          <w:marBottom w:val="0"/>
          <w:divBdr>
            <w:top w:val="none" w:sz="0" w:space="0" w:color="auto"/>
            <w:left w:val="none" w:sz="0" w:space="0" w:color="auto"/>
            <w:bottom w:val="none" w:sz="0" w:space="0" w:color="auto"/>
            <w:right w:val="none" w:sz="0" w:space="0" w:color="auto"/>
          </w:divBdr>
        </w:div>
        <w:div w:id="617227439">
          <w:marLeft w:val="0"/>
          <w:marRight w:val="0"/>
          <w:marTop w:val="0"/>
          <w:marBottom w:val="0"/>
          <w:divBdr>
            <w:top w:val="none" w:sz="0" w:space="0" w:color="auto"/>
            <w:left w:val="none" w:sz="0" w:space="0" w:color="auto"/>
            <w:bottom w:val="none" w:sz="0" w:space="0" w:color="auto"/>
            <w:right w:val="none" w:sz="0" w:space="0" w:color="auto"/>
          </w:divBdr>
        </w:div>
        <w:div w:id="1621179463">
          <w:marLeft w:val="0"/>
          <w:marRight w:val="0"/>
          <w:marTop w:val="0"/>
          <w:marBottom w:val="0"/>
          <w:divBdr>
            <w:top w:val="none" w:sz="0" w:space="0" w:color="auto"/>
            <w:left w:val="none" w:sz="0" w:space="0" w:color="auto"/>
            <w:bottom w:val="none" w:sz="0" w:space="0" w:color="auto"/>
            <w:right w:val="none" w:sz="0" w:space="0" w:color="auto"/>
          </w:divBdr>
        </w:div>
        <w:div w:id="22560506">
          <w:marLeft w:val="0"/>
          <w:marRight w:val="0"/>
          <w:marTop w:val="0"/>
          <w:marBottom w:val="0"/>
          <w:divBdr>
            <w:top w:val="none" w:sz="0" w:space="0" w:color="auto"/>
            <w:left w:val="none" w:sz="0" w:space="0" w:color="auto"/>
            <w:bottom w:val="none" w:sz="0" w:space="0" w:color="auto"/>
            <w:right w:val="none" w:sz="0" w:space="0" w:color="auto"/>
          </w:divBdr>
        </w:div>
        <w:div w:id="690454516">
          <w:marLeft w:val="0"/>
          <w:marRight w:val="0"/>
          <w:marTop w:val="0"/>
          <w:marBottom w:val="0"/>
          <w:divBdr>
            <w:top w:val="none" w:sz="0" w:space="0" w:color="auto"/>
            <w:left w:val="none" w:sz="0" w:space="0" w:color="auto"/>
            <w:bottom w:val="none" w:sz="0" w:space="0" w:color="auto"/>
            <w:right w:val="none" w:sz="0" w:space="0" w:color="auto"/>
          </w:divBdr>
        </w:div>
        <w:div w:id="1363092980">
          <w:marLeft w:val="0"/>
          <w:marRight w:val="0"/>
          <w:marTop w:val="0"/>
          <w:marBottom w:val="0"/>
          <w:divBdr>
            <w:top w:val="none" w:sz="0" w:space="0" w:color="auto"/>
            <w:left w:val="none" w:sz="0" w:space="0" w:color="auto"/>
            <w:bottom w:val="none" w:sz="0" w:space="0" w:color="auto"/>
            <w:right w:val="none" w:sz="0" w:space="0" w:color="auto"/>
          </w:divBdr>
        </w:div>
        <w:div w:id="424882004">
          <w:marLeft w:val="0"/>
          <w:marRight w:val="0"/>
          <w:marTop w:val="0"/>
          <w:marBottom w:val="0"/>
          <w:divBdr>
            <w:top w:val="none" w:sz="0" w:space="0" w:color="auto"/>
            <w:left w:val="none" w:sz="0" w:space="0" w:color="auto"/>
            <w:bottom w:val="none" w:sz="0" w:space="0" w:color="auto"/>
            <w:right w:val="none" w:sz="0" w:space="0" w:color="auto"/>
          </w:divBdr>
        </w:div>
        <w:div w:id="1385442521">
          <w:marLeft w:val="0"/>
          <w:marRight w:val="0"/>
          <w:marTop w:val="0"/>
          <w:marBottom w:val="0"/>
          <w:divBdr>
            <w:top w:val="none" w:sz="0" w:space="0" w:color="auto"/>
            <w:left w:val="none" w:sz="0" w:space="0" w:color="auto"/>
            <w:bottom w:val="none" w:sz="0" w:space="0" w:color="auto"/>
            <w:right w:val="none" w:sz="0" w:space="0" w:color="auto"/>
          </w:divBdr>
        </w:div>
        <w:div w:id="256405766">
          <w:marLeft w:val="0"/>
          <w:marRight w:val="0"/>
          <w:marTop w:val="0"/>
          <w:marBottom w:val="0"/>
          <w:divBdr>
            <w:top w:val="none" w:sz="0" w:space="0" w:color="auto"/>
            <w:left w:val="none" w:sz="0" w:space="0" w:color="auto"/>
            <w:bottom w:val="none" w:sz="0" w:space="0" w:color="auto"/>
            <w:right w:val="none" w:sz="0" w:space="0" w:color="auto"/>
          </w:divBdr>
        </w:div>
        <w:div w:id="677805281">
          <w:marLeft w:val="0"/>
          <w:marRight w:val="0"/>
          <w:marTop w:val="0"/>
          <w:marBottom w:val="0"/>
          <w:divBdr>
            <w:top w:val="none" w:sz="0" w:space="0" w:color="auto"/>
            <w:left w:val="none" w:sz="0" w:space="0" w:color="auto"/>
            <w:bottom w:val="none" w:sz="0" w:space="0" w:color="auto"/>
            <w:right w:val="none" w:sz="0" w:space="0" w:color="auto"/>
          </w:divBdr>
        </w:div>
        <w:div w:id="1777216320">
          <w:marLeft w:val="0"/>
          <w:marRight w:val="0"/>
          <w:marTop w:val="0"/>
          <w:marBottom w:val="0"/>
          <w:divBdr>
            <w:top w:val="none" w:sz="0" w:space="0" w:color="auto"/>
            <w:left w:val="none" w:sz="0" w:space="0" w:color="auto"/>
            <w:bottom w:val="none" w:sz="0" w:space="0" w:color="auto"/>
            <w:right w:val="none" w:sz="0" w:space="0" w:color="auto"/>
          </w:divBdr>
        </w:div>
        <w:div w:id="1226994749">
          <w:marLeft w:val="0"/>
          <w:marRight w:val="0"/>
          <w:marTop w:val="0"/>
          <w:marBottom w:val="0"/>
          <w:divBdr>
            <w:top w:val="none" w:sz="0" w:space="0" w:color="auto"/>
            <w:left w:val="none" w:sz="0" w:space="0" w:color="auto"/>
            <w:bottom w:val="none" w:sz="0" w:space="0" w:color="auto"/>
            <w:right w:val="none" w:sz="0" w:space="0" w:color="auto"/>
          </w:divBdr>
        </w:div>
      </w:divsChild>
    </w:div>
    <w:div w:id="1801151263">
      <w:bodyDiv w:val="1"/>
      <w:marLeft w:val="0"/>
      <w:marRight w:val="0"/>
      <w:marTop w:val="0"/>
      <w:marBottom w:val="0"/>
      <w:divBdr>
        <w:top w:val="none" w:sz="0" w:space="0" w:color="auto"/>
        <w:left w:val="none" w:sz="0" w:space="0" w:color="auto"/>
        <w:bottom w:val="none" w:sz="0" w:space="0" w:color="auto"/>
        <w:right w:val="none" w:sz="0" w:space="0" w:color="auto"/>
      </w:divBdr>
    </w:div>
    <w:div w:id="1823040033">
      <w:bodyDiv w:val="1"/>
      <w:marLeft w:val="0"/>
      <w:marRight w:val="0"/>
      <w:marTop w:val="0"/>
      <w:marBottom w:val="0"/>
      <w:divBdr>
        <w:top w:val="none" w:sz="0" w:space="0" w:color="auto"/>
        <w:left w:val="none" w:sz="0" w:space="0" w:color="auto"/>
        <w:bottom w:val="none" w:sz="0" w:space="0" w:color="auto"/>
        <w:right w:val="none" w:sz="0" w:space="0" w:color="auto"/>
      </w:divBdr>
    </w:div>
    <w:div w:id="2115519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ederalregister.gov/documents/2019/04/24/2019-07885/medicare-program-inpatient-rehabilitation-facility-prospective-payment-system-for-federal-fisca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ms.gov/newsroom/fact-sheets/proposed-fiscal-year-2020-payment-and-policy-changes-medicare-inpatient-rehabilitation-faciliti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91070-3A28-49D2-9875-E293F1B8A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2087</Words>
  <Characters>11901</Characters>
  <Application>Microsoft Office Word</Application>
  <DocSecurity>0</DocSecurity>
  <PresentationFormat>14|.DOCX</PresentationFormat>
  <Lines>99</Lines>
  <Paragraphs>27</Paragraphs>
  <ScaleCrop>false</ScaleCrop>
  <HeadingPairs>
    <vt:vector size="2" baseType="variant">
      <vt:variant>
        <vt:lpstr>Title</vt:lpstr>
      </vt:variant>
      <vt:variant>
        <vt:i4>1</vt:i4>
      </vt:variant>
    </vt:vector>
  </HeadingPairs>
  <TitlesOfParts>
    <vt:vector size="1" baseType="lpstr">
      <vt:lpstr>IRF Proposed Rule Analysis (D0835108-1).DOCX</vt:lpstr>
    </vt:vector>
  </TitlesOfParts>
  <Company/>
  <LinksUpToDate>false</LinksUpToDate>
  <CharactersWithSpaces>13961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IRF Proposed Rule Analysis (D0835108-1).DOCX</dc:title>
  <dc:subject>wdNOSTAMP</dc:subject>
  <dc:creator>Joseph Nahra</dc:creator>
  <dc:description>DO NOT STAMP</dc:description>
  <cp:lastModifiedBy>Cindy Robinson</cp:lastModifiedBy>
  <cp:revision>2</cp:revision>
  <cp:lastPrinted>2017-05-12T19:46:00Z</cp:lastPrinted>
  <dcterms:created xsi:type="dcterms:W3CDTF">2019-05-22T13:10:00Z</dcterms:created>
  <dcterms:modified xsi:type="dcterms:W3CDTF">2019-05-22T13:10:00Z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gFAAsdpvfP9KDXIRgD8tbGPzOWMWj1NMXSPSgM+shb5EW0SrknZwgyKsT90i4Ihqul28gV8RE9WCQ1Vs
nEb1+KbTIl9l8eKnaxESdRUuXXbGa5xRNuceARkr8Dl+OxMB652Rck1LJIB5aVJsnEb1+KbTIl9l
8eKnaxESdRUuXXbGa5xRNuceARkr8NLRsRQP1qSphW/RBmzl31SkTK/tcYnmlyhYRauenTN9A2yb
UwwuM4+VTsP2l8lR5</vt:lpwstr>
  </property>
  <property fmtid="{D5CDD505-2E9C-101B-9397-08002B2CF9AE}" pid="3" name="MAIL_MSG_ID2">
    <vt:lpwstr>iubmX6HcNbS+8MVCGLLN3pj8oLUyrTlv9y/wi7p2BaqJ4L4UQ57NeT0WMg6
pYs2oAps5g2fPJ0xOKR2KMqQqX1DVAjfYpKoxQ==</vt:lpwstr>
  </property>
  <property fmtid="{D5CDD505-2E9C-101B-9397-08002B2CF9AE}" pid="4" name="RESPONSE_SENDER_NAME">
    <vt:lpwstr>sAAA4E8dREqJqIo7HmiT95WFIjX6UKo8CdkK3e/83YMbbZw=</vt:lpwstr>
  </property>
  <property fmtid="{D5CDD505-2E9C-101B-9397-08002B2CF9AE}" pid="5" name="EMAIL_OWNER_ADDRESS">
    <vt:lpwstr>4AAA4Lxe55UJ0C9uSmJ5/Xdd+WSLLEP2JHVOMvRb+0NY8mQhGB03EFJQ9Q==</vt:lpwstr>
  </property>
</Properties>
</file>